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3660" w:right="940" w:hanging="2712"/>
        <w:spacing w:after="0" w:line="382" w:lineRule="auto"/>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5" w:lineRule="exact"/>
        <w:rPr>
          <w:rFonts w:ascii="MS PGothic" w:cs="MS PGothic" w:eastAsia="MS PGothic" w:hAnsi="MS PGothic"/>
          <w:sz w:val="18"/>
          <w:szCs w:val="18"/>
          <w:color w:val="auto"/>
        </w:rPr>
      </w:pPr>
    </w:p>
    <w:p>
      <w:pPr>
        <w:jc w:val="center"/>
        <w:ind w:left="3420" w:right="940" w:hanging="2479"/>
        <w:spacing w:after="0" w:line="406"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No. </w:t>
      </w:r>
      <w:r>
        <w:rPr>
          <w:rFonts w:ascii="Times New Roman" w:cs="Times New Roman" w:eastAsia="Times New Roman" w:hAnsi="Times New Roman"/>
          <w:sz w:val="18"/>
          <w:szCs w:val="18"/>
          <w:b w:val="1"/>
          <w:bCs w:val="1"/>
          <w:u w:val="single" w:color="auto"/>
          <w:color w:val="auto"/>
        </w:rPr>
        <w:t>001-39599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EMPOWER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13335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13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8"/>
        </w:trPr>
        <w:tc>
          <w:tcPr>
            <w:tcW w:w="4180" w:type="dxa"/>
            <w:vAlign w:val="bottom"/>
          </w:tcPr>
          <w:p>
            <w:pPr>
              <w:ind w:left="168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ind w:left="21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1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2"/>
        </w:trPr>
        <w:tc>
          <w:tcPr>
            <w:tcW w:w="4180" w:type="dxa"/>
            <w:vAlign w:val="bottom"/>
          </w:tcPr>
          <w:p>
            <w:pPr>
              <w:spacing w:after="0"/>
              <w:rPr>
                <w:sz w:val="24"/>
                <w:szCs w:val="24"/>
                <w:color w:val="auto"/>
              </w:rPr>
            </w:pPr>
          </w:p>
        </w:tc>
        <w:tc>
          <w:tcPr>
            <w:tcW w:w="7060" w:type="dxa"/>
            <w:vAlign w:val="bottom"/>
            <w:gridSpan w:val="3"/>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rPr>
              <w:t>c/o MidOcean Partners</w:t>
            </w:r>
          </w:p>
        </w:tc>
      </w:tr>
      <w:tr>
        <w:trPr>
          <w:trHeight w:val="253"/>
        </w:trPr>
        <w:tc>
          <w:tcPr>
            <w:tcW w:w="4180" w:type="dxa"/>
            <w:vAlign w:val="bottom"/>
          </w:tcPr>
          <w:p>
            <w:pPr>
              <w:spacing w:after="0"/>
              <w:rPr>
                <w:sz w:val="21"/>
                <w:szCs w:val="21"/>
                <w:color w:val="auto"/>
              </w:rPr>
            </w:pPr>
          </w:p>
        </w:tc>
        <w:tc>
          <w:tcPr>
            <w:tcW w:w="7060" w:type="dxa"/>
            <w:vAlign w:val="bottom"/>
            <w:gridSpan w:val="3"/>
          </w:tcPr>
          <w:p>
            <w:pPr>
              <w:jc w:val="center"/>
              <w:ind w:right="4070"/>
              <w:spacing w:after="0" w:line="252" w:lineRule="exact"/>
              <w:rPr>
                <w:sz w:val="20"/>
                <w:szCs w:val="20"/>
                <w:color w:val="auto"/>
              </w:rPr>
            </w:pPr>
            <w:r>
              <w:rPr>
                <w:rFonts w:ascii="Times New Roman" w:cs="Times New Roman" w:eastAsia="Times New Roman" w:hAnsi="Times New Roman"/>
                <w:sz w:val="18"/>
                <w:szCs w:val="18"/>
                <w:b w:val="1"/>
                <w:bCs w:val="1"/>
                <w:color w:val="auto"/>
                <w:w w:val="97"/>
              </w:rPr>
              <w:t>245 Park Avenue, 38</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r>
      <w:tr>
        <w:trPr>
          <w:trHeight w:val="238"/>
        </w:trPr>
        <w:tc>
          <w:tcPr>
            <w:tcW w:w="4180" w:type="dxa"/>
            <w:vAlign w:val="bottom"/>
          </w:tcPr>
          <w:p>
            <w:pPr>
              <w:spacing w:after="0"/>
              <w:rPr>
                <w:sz w:val="20"/>
                <w:szCs w:val="20"/>
                <w:color w:val="auto"/>
              </w:rPr>
            </w:pPr>
          </w:p>
        </w:tc>
        <w:tc>
          <w:tcPr>
            <w:tcW w:w="7060" w:type="dxa"/>
            <w:vAlign w:val="bottom"/>
            <w:gridSpan w:val="3"/>
          </w:tcPr>
          <w:p>
            <w:pPr>
              <w:jc w:val="center"/>
              <w:ind w:right="4090"/>
              <w:spacing w:after="0"/>
              <w:rPr>
                <w:sz w:val="20"/>
                <w:szCs w:val="20"/>
                <w:color w:val="auto"/>
              </w:rPr>
            </w:pPr>
            <w:r>
              <w:rPr>
                <w:rFonts w:ascii="Times New Roman" w:cs="Times New Roman" w:eastAsia="Times New Roman" w:hAnsi="Times New Roman"/>
                <w:sz w:val="18"/>
                <w:szCs w:val="18"/>
                <w:b w:val="1"/>
                <w:bCs w:val="1"/>
                <w:color w:val="auto"/>
                <w:w w:val="98"/>
              </w:rPr>
              <w:t>New York, NY 10167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0</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4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497-1400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40"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4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2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Units, each consisting of one Class A ordinary share,</w:t>
            </w:r>
          </w:p>
        </w:tc>
        <w:tc>
          <w:tcPr>
            <w:tcW w:w="2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EMPW.U</w:t>
            </w:r>
          </w:p>
        </w:tc>
        <w:tc>
          <w:tcPr>
            <w:tcW w:w="2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$0.0001 par value, and one-third of one redeemable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34"/>
        </w:trPr>
        <w:tc>
          <w:tcPr>
            <w:tcW w:w="4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warrant</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shares included as part of the units</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EMPW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98"/>
        </w:trPr>
        <w:tc>
          <w:tcPr>
            <w:tcW w:w="452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Redeemable warrants included as part of the units, each</w:t>
            </w:r>
          </w:p>
        </w:tc>
        <w:tc>
          <w:tcPr>
            <w:tcW w:w="246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EMPW WS</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16"/>
        </w:trPr>
        <w:tc>
          <w:tcPr>
            <w:tcW w:w="4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whole warrant exercisable for one Class A ordinary share</w:t>
            </w: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34"/>
        </w:trPr>
        <w:tc>
          <w:tcPr>
            <w:tcW w:w="45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 an exercise price of $11.50</w:t>
            </w: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17"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16"/>
        </w:trPr>
        <w:tc>
          <w:tcPr>
            <w:tcW w:w="3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83"/>
        </w:trPr>
        <w:tc>
          <w:tcPr>
            <w:tcW w:w="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Emerging growth company</w:t>
            </w:r>
          </w:p>
        </w:tc>
      </w:tr>
    </w:tbl>
    <w:p>
      <w:pPr>
        <w:spacing w:after="0" w:line="97"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660"/>
        <w:spacing w:after="0" w:line="207" w:lineRule="exact"/>
        <w:tabs>
          <w:tab w:leader="none" w:pos="95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19, 2020, there were 25,000,000 Class A ordinary shares, $0.0001 par value per share, and 7,187,500 Class B ordinary shares,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EMPOWER LTD.</w:t>
            </w:r>
          </w:p>
        </w:tc>
        <w:tc>
          <w:tcPr>
            <w:tcW w:w="1000" w:type="dxa"/>
            <w:vAlign w:val="bottom"/>
          </w:tcPr>
          <w:p>
            <w:pPr>
              <w:spacing w:after="0"/>
              <w:rPr>
                <w:sz w:val="20"/>
                <w:szCs w:val="20"/>
                <w:color w:val="auto"/>
              </w:rPr>
            </w:pPr>
          </w:p>
        </w:tc>
      </w:tr>
      <w:tr>
        <w:trPr>
          <w:trHeight w:val="432"/>
        </w:trPr>
        <w:tc>
          <w:tcPr>
            <w:tcW w:w="1024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SEPTEMBER 30, 2020</w:t>
            </w:r>
          </w:p>
        </w:tc>
        <w:tc>
          <w:tcPr>
            <w:tcW w:w="1000" w:type="dxa"/>
            <w:vAlign w:val="bottom"/>
          </w:tcPr>
          <w:p>
            <w:pPr>
              <w:spacing w:after="0"/>
              <w:rPr>
                <w:sz w:val="24"/>
                <w:szCs w:val="24"/>
                <w:color w:val="auto"/>
              </w:rPr>
            </w:pPr>
          </w:p>
        </w:tc>
      </w:tr>
      <w:tr>
        <w:trPr>
          <w:trHeight w:val="432"/>
        </w:trPr>
        <w:tc>
          <w:tcPr>
            <w:tcW w:w="1024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53"/>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6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 (Unaudited)</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240" w:type="dxa"/>
            <w:vAlign w:val="bottom"/>
          </w:tcPr>
          <w:p>
            <w:pPr>
              <w:ind w:left="68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Statement of Operations (Unaudited)</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0240" w:type="dxa"/>
            <w:vAlign w:val="bottom"/>
            <w:shd w:val="clear" w:color="auto" w:fill="CCEEFF"/>
          </w:tcPr>
          <w:p>
            <w:pPr>
              <w:ind w:left="68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 of Changes in Shareholder’s Equity (Unaudited)</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240" w:type="dxa"/>
            <w:vAlign w:val="bottom"/>
          </w:tcPr>
          <w:p>
            <w:pPr>
              <w:ind w:left="68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Condensed Statement of Cash Flows (Unaudited)</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0240" w:type="dxa"/>
            <w:vAlign w:val="bottom"/>
            <w:shd w:val="clear" w:color="auto" w:fill="CCEEFF"/>
          </w:tcPr>
          <w:p>
            <w:pPr>
              <w:ind w:left="68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0240" w:type="dxa"/>
            <w:vAlign w:val="bottom"/>
          </w:tcPr>
          <w:p>
            <w:pPr>
              <w:ind w:left="440"/>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240" w:type="dxa"/>
            <w:vAlign w:val="bottom"/>
            <w:shd w:val="clear" w:color="auto" w:fill="CCEEFF"/>
          </w:tcPr>
          <w:p>
            <w:pPr>
              <w:ind w:left="44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3. Quantitative and Qualitative Disclosures Regarding Market Risk</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tcPr>
          <w:p>
            <w:pPr>
              <w:ind w:left="440"/>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Item 4. Controls and Procedures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024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18">
              <w:r>
                <w:rPr>
                  <w:rFonts w:ascii="Times New Roman" w:cs="Times New Roman" w:eastAsia="Times New Roman" w:hAnsi="Times New Roman"/>
                  <w:sz w:val="18"/>
                  <w:szCs w:val="18"/>
                  <w:b w:val="1"/>
                  <w:bCs w:val="1"/>
                  <w:u w:val="single" w:color="auto"/>
                  <w:color w:val="0000EE"/>
                </w:rPr>
                <w:t>Part II. Other Information</w:t>
              </w:r>
            </w:hyperlink>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1. Legal Proceedings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1A. Risk Factors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shd w:val="clear" w:color="auto" w:fill="CCEEFF"/>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3. Defaults Upon Senior Securities</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shd w:val="clear" w:color="auto" w:fill="CCEEFF"/>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4. Mine Safety Disclosures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tcPr>
          <w:p>
            <w:pPr>
              <w:ind w:left="440"/>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Item 5. Other Information</w:t>
              </w:r>
            </w:hyperlink>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0240" w:type="dxa"/>
            <w:vAlign w:val="bottom"/>
            <w:shd w:val="clear" w:color="auto" w:fill="CCEEFF"/>
          </w:tcPr>
          <w:p>
            <w:pPr>
              <w:ind w:left="4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6. Exhibits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4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Part III. Signatures</w:t>
              </w:r>
            </w:hyperlink>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547"/>
        </w:trPr>
        <w:tc>
          <w:tcPr>
            <w:tcW w:w="102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78"/>
              </w:rPr>
              <w:t>i</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EMPOWER LTD.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CONDENSED BALANCE SHEET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02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165,893</w:t>
            </w:r>
          </w:p>
        </w:tc>
        <w:tc>
          <w:tcPr>
            <w:tcW w:w="80" w:type="dxa"/>
            <w:vAlign w:val="bottom"/>
          </w:tcPr>
          <w:p>
            <w:pPr>
              <w:spacing w:after="0"/>
              <w:rPr>
                <w:sz w:val="24"/>
                <w:szCs w:val="24"/>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 related party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145,893</w:t>
            </w:r>
          </w:p>
        </w:tc>
        <w:tc>
          <w:tcPr>
            <w:tcW w:w="80" w:type="dxa"/>
            <w:vAlign w:val="bottom"/>
          </w:tcPr>
          <w:p>
            <w:pPr>
              <w:spacing w:after="0"/>
              <w:rPr>
                <w:sz w:val="20"/>
                <w:szCs w:val="20"/>
                <w:color w:val="auto"/>
              </w:rPr>
            </w:pPr>
          </w:p>
        </w:tc>
      </w:tr>
      <w:tr>
        <w:trPr>
          <w:trHeight w:val="223"/>
        </w:trPr>
        <w:tc>
          <w:tcPr>
            <w:tcW w:w="10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145,893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$0.0001 par value; 5,000,000 shares authorized; none issued and outstanding</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 authorized; none issued and outstanding</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Class B ordinary shares, $0.0001 par value; 50,000,000 shares authorized; 7,187,500 shares issued and outstanding </w:t>
            </w:r>
            <w:r>
              <w:rPr>
                <w:rFonts w:ascii="Times New Roman" w:cs="Times New Roman" w:eastAsia="Times New Roman" w:hAnsi="Times New Roman"/>
                <w:sz w:val="29"/>
                <w:szCs w:val="29"/>
                <w:color w:val="auto"/>
                <w:vertAlign w:val="superscript"/>
              </w:rPr>
              <w:t>(1)</w:t>
            </w:r>
          </w:p>
        </w:tc>
        <w:tc>
          <w:tcPr>
            <w:tcW w:w="320" w:type="dxa"/>
            <w:vAlign w:val="bottom"/>
          </w:tcPr>
          <w:p>
            <w:pPr>
              <w:spacing w:after="0"/>
              <w:rPr>
                <w:sz w:val="22"/>
                <w:szCs w:val="22"/>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24,281</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165,893</w:t>
            </w:r>
          </w:p>
        </w:tc>
        <w:tc>
          <w:tcPr>
            <w:tcW w:w="80" w:type="dxa"/>
            <w:vAlign w:val="bottom"/>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up to 937,500 shares that are subject to forfeiture to the extent that the underwriter’s over-allotment option is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AUGUST 19, 2020 (INCEPTION) THROUGH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78"/>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(5,000)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10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Weighted average shares outstanding, basic and diluted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6,250,000</w:t>
            </w: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ordinary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
        </w:trPr>
        <w:tc>
          <w:tcPr>
            <w:tcW w:w="10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right="2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 aggregate of up to 937,500 shares that are subject to forfeiture to the extent that the underwriter’s over-allotment option is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AUGUST 19, 2020 (INCEPTION) THROUGH 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620" w:type="dxa"/>
            <w:vAlign w:val="bottom"/>
          </w:tcPr>
          <w:p>
            <w:pPr>
              <w:spacing w:after="0"/>
              <w:rPr>
                <w:sz w:val="21"/>
                <w:szCs w:val="21"/>
                <w:color w:val="auto"/>
              </w:rPr>
            </w:pPr>
          </w:p>
        </w:tc>
        <w:tc>
          <w:tcPr>
            <w:tcW w:w="27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August 19, 2020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Issuance of Class B ordinary shares to Sponsor </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7,187,500</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24,281</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7,187,500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24,281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20,000</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aggregate of up to 937,500 shares that are subject to forfeiture to the extent that the underwriter’s over-allotment option is not exercised in full (see Note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ind w:left="1820"/>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7"/>
          <w:szCs w:val="17"/>
          <w:b w:val="1"/>
          <w:bCs w:val="1"/>
          <w:color w:val="auto"/>
        </w:rPr>
        <w:t>FOR THE PERIOD FROM AUGUST 19, 2020 (INCEPTION) THROUGH SEPTEMBER 30, 2020</w:t>
      </w:r>
    </w:p>
    <w:p>
      <w:pPr>
        <w:spacing w:after="0" w:line="21"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Payment of formation costs through issuance of Class B ordinary shares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promissory note - related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offering costs</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 Beginning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offering costs paid by Sponsor in exchange for the issuance of Class B ordinary shares</w:t>
      </w:r>
    </w:p>
    <w:p>
      <w:pPr>
        <w:spacing w:after="0" w:line="31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financial statements.</w:t>
      </w:r>
    </w:p>
    <w:p>
      <w:pPr>
        <w:spacing w:after="0" w:line="3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40" w:hanging="635"/>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w:t>
      </w:r>
    </w:p>
    <w:p>
      <w:pPr>
        <w:spacing w:after="0" w:line="23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5,000</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145,893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(145,893)</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940" w:hanging="935"/>
        <w:spacing w:after="0"/>
        <w:tabs>
          <w:tab w:leader="none" w:pos="9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029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620" w:hanging="615"/>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420" w:space="600"/>
            <w:col w:w="1180"/>
          </w:cols>
          <w:pgMar w:left="320" w:top="792"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Empower Ltd. (the “Company”) is a blank check company incorporated as a Cayman Islands exempted company on August 19, 2020. The Company was formed for the purpose of effecting a merger, share exchange, asset acquisition, share purchase, reorganization or similar business combination with one or more businesses (“Business Combination”).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limited to a particular industry or geographic region for purposes of completing a Business Combination. The Company is an early stage and emerging growth company and, as such, the Company is subject to all of the risks associated with early stage and emerging growth companies.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August 19, 2020 (inception) through September 30, 2020 relates to the Company’s formation and the initial public offering (“Initial Public Offering”), which is described below. The Company will not generate any operating revenues until after the completion of a Business Combination, at the earliest. The Company will generate non-operating income in the form of interest income from the proceeds derived from the Initial Public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for the Company’s Initial Public Offering became effective on October 6, 2020. On October 9, 2020,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4,666,667 warrants (the “Private Placement Warrants”) at a price of $1.50 per Private Placement Warrant in a private placement to Empower Sponsor Holdings LLC (the “Sponsor”), generating gross proceeds of $7,000,000, which is described in Note 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amounted to $14,215,163, consisting of $5,000,000 of underwriting fees, $8,750,000 of deferred underwriting fees and $465,163 of other offering costs. In addition, at October 9, 2020, cash of $1,122,742 was held outside of the Trust Account (as defined below) and is available for the payment of offering expenses and for working capital purposes.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Initial Public Offering on October 9, 2020,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185 days or less, or in any open-ended investment company that holds itself out as a money market fund meeting certain conditions of Rule 2a-7 of the Investment Company Act, as determined by the Company, until the earlier of: (i) the completion of a Business Combination and (ii) the distribution of the funds in the Trust Account to the Company’s shareholders, as described below.</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completing a Business Combination. The Company must complete its initial Business Combination with one or more target businesses that together have a fair market value equal to at least 80% of the net assets held in the Trust Account (excluding any deferred underwriting commissions held in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The shareholders will be entitled to redeem their shares for a pro rata portion of the amount held in the Trust Account (initially $10.00 per share), calculated as of two business days prior to the completion of a Business Combination, including any pro rata interest earned on the funds held in the Trust Account and not previously released to the Company to pay its tax obligations. There will be no redemption rights upon the completion of a Business Combination with respect to the Company’s warrants.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seeks shareholder approval in connection with a Business Combination, it receives an ordinary resolution under Cayman Islands law approving a Business Combination, which requires the affirmative vote of a majority of the shareholders who vote at a general meeting of the Company. If a shareholder vote is not required under applicable law or stock exchange listing requirements and the Company does not decide to hold a shareholder vote for business or other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in or after the Initial Public Offering in favor of approving a Business Combination and to waive its redemption rights with respect to any such shares in connection with a shareholder vote to approve a Business Combination. However, in no event will the Company redeem its Public Shares in an amount that would cause its net tangible assets to be less than $5,000,001. Additionally, each public shareholder may elect to redeem its Public Shares, without voting, and if they do vote, irrespective of whether they vote for or against a proposed Business Combination.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 (i) to modify the substance or timing of the Company’s obligation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in conjunction with any such amendment and (iii) to waive its rights to liquidating distributions from the Trust Account with respect to the Founder Shares if the Company fails to complete a Business Combination.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will have until October 9, 2022 (the “Combination Period”) to complete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Sponsor has agreed to waive its liquidation rights with respect to the Founder Shares if the Company fails to complete a Business Combination within the Combination Period. However, if the Sponsor acquires Public Shares in or after the Initial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Sponsor has agreed that it will be liable to the Company, if and to the extent any claims by a third party for services rendered or products sold to the Company, or by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amount of interest which may be withdrawn to pay taxes. This liability will not apply with respect to any claims by a third party who executed a waiver of any and all rights to seek access to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prospectus for its Initial Public Offering as filed with the SEC on October 7, 2020, as well as the Company’s Current Reports on Form 8-K, as filed with the SEC on October 13, 2020 and October 16, 2020. The interim results for the period from August 19, 2020 (inception) through September 30, 2020 are not necessarily indicative of the results to be expected for the year ending December 31, 2020 or for any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consist of legal, accounting and other costs incurred through the balance sheet date that are directly related to the Initial Public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amounting to $14,215,163 were charged to shareholders’ equity upon the completion of the Initial Public Offering.</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loss per ordinary share is computed by dividing net loss by the weighted average number of ordinary shares outstanding during the period, excluding ordinary shares subject to forfeiture. Weighted average shares were reduced for the effect of an aggregate of 937,500 ordinary shares, that were subject to forfeiture if the over-allotment option was not exercised by the underwriter (see Note 5). At September 30, 2020, the Company did not have any dilutive securities and other contracts that could, potentially, be exercised or converted into ordinary shares and then share in the earnings of the Company. As a result, diluted loss per common share is the same as basic loss per share for the period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condensed balance sheet, primarily due to their short-term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accompanying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as a pandemic which continues to spread throughout the United States and the World. As of the date the financial statements were issued, there was considerable uncertainty around the expected duration of this pandemic. The Company has concluded that while it is reasonably possible that COVID-19 could have a negative effect on identifying a target company for a Business Combination,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Initial Public Offering, the Company sold 25,000,000 Units, at a purchase price of $10.00 per Unit. Each Unit consists of one Class A ordinary share and one-third of one redeemable warrant (“Public Warrant”). Each whole Public Warrant entitles the holder to purchase one Class A ordinary share at an exercise price of $11.50 per share, subject to adjustment (see Note 7).</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Sponsor purchased an aggregate of 4,666,667 Private Placement Warrants at a price of $1.50 per Private Placement Warrant, for an aggregate purchase price of $7,000,000. Each Private Placement Warrant is exercisable for one Class A ordinary share at a price of $11.50 per share, subject to adjustment (see Note 7). The proceeds from the sale of the Private Placement Warrants were added to the net proceeds from the Initial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period ended August 21, 2020, the Sponsor paid $25,000 to cover certain offering and formation costs of the Company in consideration for 7,187,500 shares of Class B ordinary shares (the “Founder Shares”). The Founder Shares include an aggregate of up to 937,500 shares subject to forfeiture by the Sponsor to the extent that the underwriters’ over-allotment is not exercised in full or in part, so that the number of Founder Shares will collectively represent 20% of the Company’s issued and outstanding shares upon the completion of the Initial Public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Sponsor has agreed, subject to limited exceptions, not to transfer, assign or sell any of its Founder Shares until the earlier to occur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2020, the Company issued an unsecured promissory note to the Sponsor (the “Promissory Note”), pursuant to which the Company may borrow up to an aggregate principal amount of $300,000. The Promissory Note is non-interest bearing and payable on the earlier of (i) December 31, 2020 or (i) the consummation of the Initial Public Offering. As of September 30, 2020, there was $145,893 outstanding under the Promissory Note. The outstanding balance under the Note of $150,295 was repaid at the closing of the Initial Public Offering on October 9,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 Business Combination, the Sponsor or an affiliate of the Sponsor or certain of the Company’s directors and officers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$2,000,000 of such Working Capital Loans may be convertible into warrants of the post-Business Combination entity at a price of $1.50 per warrant. The warrants would be identical to the Private Placement Warrants.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Shareholders Rights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a registration and shareholder rights agreement entered into on October 9, 2020, the holders of the Founder Shares, Private Placement Warrants and warrants that may be issued upon conversion of the Working Capital Loans (and any Class A ordinary shares issuable upon the exercise of the Private Placement Warrants and warrants that may be issued upon conversion of Working Capital Loans and upon conversion of the Founder Shares) will be entitled to registration rights. The holders of these securities are entitled to make up to three demands, excluding short form demands, that the Company register such securities. In addition, the holders have certain “piggy-back” registration rights with respect to registration statements filed subsequent to completion of a Business Combination. However, the registration and shareholder rights agreement provides that the Company will not permit any registration statement filed under the Securities Act to become effective until termination of the applicable lockup period. The registration and shareholders rights agreement does not contain liquidating damages or other cash settlement provisions resulting from delays in registering the Company’s securities. The Company will bear the expenses incurred in connection with the filing of any such registration statements.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forward purchase agreement, the Company agreed that it will use its commercially reasonable efforts to (i) within 30 days after the closing of the a Business Combination, file a registration statement with the SEC for a secondary offering of (A) the forward purchase investors’ forward purchase shares, (B) the Class A ordinary shares issuable upon exercise of the forward purchase investors’ forward purchase warrants and (C) any other Class A ordinary shares acquired by the forward purchase investors, including any acquisitions after the Company completes a Business Combination, (ii) cause such registration statement to be declared effective promptly thereafter, but in no event later than 90 days after the closing of a Business Combination and</w:t>
      </w:r>
    </w:p>
    <w:p>
      <w:pPr>
        <w:spacing w:after="0" w:line="3" w:lineRule="exact"/>
        <w:rPr>
          <w:sz w:val="20"/>
          <w:szCs w:val="20"/>
          <w:color w:val="auto"/>
        </w:rPr>
      </w:pPr>
    </w:p>
    <w:p>
      <w:pPr>
        <w:jc w:val="both"/>
        <w:ind w:firstLine="8"/>
        <w:spacing w:after="0" w:line="253"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effectiveness of such registration statement and to ensure the registration statement does not contain a material omission or misstatement, including by way of amendment or other update, as required, until the earlier of (A) the date on which a forward purchase investor ceases to hold the securities covered thereby and (B) the date all of the securities covered thereby can be sold publicly without restriction or limitation under Rule 144 under the Securities Act, and without the requirement to be in compliance with Rule 144(c)(1) under the Securities Act, subject to certain conditions and limitations set forth in the forward purchase agreement. The Company will bear the cost of registering these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3,750,000 additional Units to cover over-allotments at the Initial Public Offering price, less the underwriting discounts and commissions.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underwriters are entitled to a deferred fee of $0.35 per Unit, or $8,750,000 in the aggregate (or $10,062,500 if the underwriters’ over-allotment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forward purchase agreement to which Empower Funding LLC (“Empower Funding”), a newly formed Delaware limited liability company which has received commitments from one or more funds affiliated with MidOcean Partners (“MidOcean”), and is an affiliate of the Sponsor, will purchase an aggregate of up to 5,000,000 forward purchase units, consisting of one Class A ordinary share and one-third of one warrant to purchase one Class A ordinary share for $10.00 per unit, or up to $50,000,000 in the aggregate, in a private placement to close substantially concurrently with the closing of a Business Combination, subject to approval at such time by the MidOcean investment committee. The allocation of the forward purchase securities among the ultimate MidOcean funds that will be funding the forward purchase will be determined by MidOcean, in its sole discretion, at the time of a Business Combination. If the sale of the forward purchase units fails to close, for any reason, the Company may lack sufficient funds to consummate a Business Combination. The forward purchase shares and forward purchase warrants will be identical to the Class A ordinary shares included in the units sold in the Initial Public Offering, except that they will be subject to certain registration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Preference Shares </w:t>
      </w:r>
      <w:r>
        <w:rPr>
          <w:rFonts w:ascii="Times New Roman" w:cs="Times New Roman" w:eastAsia="Times New Roman" w:hAnsi="Times New Roman"/>
          <w:sz w:val="18"/>
          <w:szCs w:val="18"/>
          <w:color w:val="auto"/>
        </w:rPr>
        <w:t>— The Company is authorized to issue 5,000,000 preference shares with a par value of $0.0001 per share, with such designations,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and other rights and preferences as may be determined from time to time by the Company’s board of directors. At September 30, 2020, there were no preference shares issued or outstanding.</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500,000,000 Class A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are entitled to one vote for each share. At September 30, 2020, there were no Class A ordinary shares issued or outstanding.</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50,000,000 Class B ordinary shares, with a par value of $0.0001 per share. Holders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At September 30, 2020, there were 7,187,500 Class B ordinary shares issued and outstanding, of which an aggregate of up to 937,500 shares are subject to forfeiture to the extent that the underwriters’ over-allotment option is not exercised in full or in part so that the number of Founder Shares will equal 20% of the Company’s issued and outstanding ordinary shares after the Initial Public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of Class A ordinary shares and holders of Class B ordinary shares will vote together as a single class on all other matters submitted to a vote of the Company’s shareholders except as otherwise required by law.</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a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Initial Public Offering, plus (ii)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forward purchase securities and Class A ordinary shares or equity-linked securities exercisable for or convertible into Class A ordinary shares issued, deemed issued, or to be issued, to any seller in the Business Combination and any Private Placement Warrants issued to the Sponsor, its affiliates or any member of the Company’s management team upon conversion of Working Capital Loans. In no event will the Class B ordinary shares convert into Class A ordinary shares at a rate of less than one-to-one.</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122"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 Public Warrants may only be exercised for a whole number of shares. No fractional shares will be issued upon exercise of the Public Warrants.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Public Warrants will become exercisable on the later of (a) 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warrants is then effective and a current prospectus relating thereto is available, subject to the Company satisfying its obligations with respect to registration, or a valid exemption from registration is available.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is available.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agreed that as soon as practicable, but in no event later than 20 business days, after the closing of a Business Combination, it will use its commercially reasonable efforts to file with the SEC a registration statement, under the Securities Act, of the Class A ordinary shares issuable upon exercise of the warrants, and the Company will use its commercially reasonable efforts to cause the same to become effective within 60 business days after the closing of a Business Combination, and to maintain the effectiveness of such registration statement and a current prospectus relating to those Class A ordinary shares until the warrants expire or are redeemed, as specified in the warrant agreement; provided that if our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but the Company will use its commercially reasonably efforts to register or qualify the shares under applicable blue sky laws to the extent an exemption is not available. If a registration statement covering the Class A ordinary shares issuable upon exercise of the warrants is not effective</w:t>
      </w:r>
    </w:p>
    <w:p>
      <w:pPr>
        <w:spacing w:after="0" w:line="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of a Business Combination, warrant holders may, until such time as there is an effective registration statement and during any period when the Company has failed to maintain an effective registration statement, exercise warrants on a “cashless basis” in accordance with Section 3(a)(9) of the Securities Act or another exemption, but the Company will use its commercially reasonably efforts to register or qualify the shares under applicable blue sky laws to the extent an exemption is not available.</w:t>
      </w:r>
    </w:p>
    <w:p>
      <w:pPr>
        <w:spacing w:after="0" w:line="1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$18.00 </w:t>
      </w:r>
      <w:r>
        <w:rPr>
          <w:rFonts w:ascii="Times New Roman" w:cs="Times New Roman" w:eastAsia="Times New Roman" w:hAnsi="Times New Roman"/>
          <w:sz w:val="18"/>
          <w:szCs w:val="18"/>
          <w:color w:val="auto"/>
        </w:rPr>
        <w:t>— 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Public Warrants:</w:t>
      </w:r>
    </w:p>
    <w:p>
      <w:pPr>
        <w:spacing w:after="0" w:line="16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$18.00 per share (as adjusted for share splits,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the Company, the Company may exercise its redemption right even if the Company are unable to register or qualify the underlying securities for sale under all applicable state securities laws.</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Class A Ordinary Share Equals or Exceeds $10.00 </w:t>
      </w:r>
      <w:r>
        <w:rPr>
          <w:rFonts w:ascii="Times New Roman" w:cs="Times New Roman" w:eastAsia="Times New Roman" w:hAnsi="Times New Roman"/>
          <w:sz w:val="18"/>
          <w:szCs w:val="18"/>
          <w:color w:val="auto"/>
        </w:rPr>
        <w:t>— Once the warrants become exercisable,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redeem the outstanding warrants:</w:t>
      </w:r>
    </w:p>
    <w:p>
      <w:pPr>
        <w:spacing w:after="0" w:line="16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ordinary shares;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ordinary shares equals or exceeds $10.00 per share (as adjusted for share splits, share capitalizations, reorganizations, recapitalizations and the like) on the trading day prior to the date on which the Company send the notice of redemption to warrant holders.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EMPOWER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its Class A ordinary shares during the 20 trading day period starting on the trading day prior to the day on which the Company consummates its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Other than as described in these condensed financial statements, the Company did not identify any additional subsequent events that would have required adjustment or disclosure in the condensed financial statements.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report (the “Quarterly Report”) to “we,” “us” or the “Company” refer to Empower Ltd. References to our “management” or our “management team” refer to our officers and directors, and references to the “Sponsor” refer to Empower Sponsor Holdings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potential business combinations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and are subject to risks and uncertainties. A number of factors could cause actual events, performance or results to differ materially from the events, performance and results discussed in the forward-looking statements, including risks related to the impact of the COVID-19 global pandemic, including the actions of governments, businesses and individuals in response to the situation. For information identifying important factors that could cause actual results to differ materially from those anticipated in the forward-looking statements, please refer to the Risk Factors section of the Company’s final prospectus for its Initial Public Offering filed with the SEC on October 7, 2020.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blank check company incorporated in the Cayman Islands on August 19, 2020 formed for the purpose of effecting a merger, amalgamation, share exchange, asset acquisition, share purchase, reorganization or other similar Business Combination with one or more businesses. We intend to effectuate our Business Combination using cash derived from the proceeds of the Initial Public Offering and the sale of the Private Placement Warrants, our shares, debt or a combination of cash, shares and debt.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costs in the pursuit of our acquisition plans. We cannot assure you that our plans to complete a Business Combination will be successful.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from inception through September 30, 2020 were organizational activities and those necessary to prepare for the Initial Public Offering, described below. We do not expect to generate any operating revenues until after the completion of our initial Business Combination. We expect to generate non-operating income in the form of interest income on marketable securities held after the Initial Public Offering. We expect that we will incur increased expenses as a result of being a public company (for legal, financial reporting, accounting and auditing compliance), as well as for due diligence expenses in connection with searching for, and completing, a Business Combination.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from August 19, 2020 (inception) through September 30, 2020, we had a net loss of $5,000, which consisted of formation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2020, we had no cash. Until the consummation of the Initial Public Offering, our only source of liquidity was an initial purchase of ordinary shares by the Sponsor and loans from our Sponsor.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end of the quarterly period covered by this Quarterly Report, on October 9, 2020, we consummated the Initial Public Offering of 25,000,000 Units, at a price of $10.00 per Unit, generating gross proceeds of $250,000,000. Simultaneously with the closing of the Initial Public Offering, we consummated the sale of 4,666,667 Private Placement Warrants to the Sponsor at a price of $1.50 per Private Placement Warrant generating gross proceeds of $7,000,000.</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Initial Public Offering, and the sale of the Private Placement Warrants, a total of $250,000,000 was placed in the Trust Account, and we had $1,122,742 of cash held outside of the Trust Account, after payment of costs related to the Initial Public Offering, and available for working capital purposes. We incurred $14,215,163 in transaction costs, including $5,000,000 of underwriting fees, $8,750,000 of deferred underwriting fees and $465,163 of other costs.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$2,000,000 of such loans may be convertible into warrants, at a price of $1.50 per warrant, at the option of the lender. The warrants would be identical to the Private Placement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we will need to raise additional funds in order to meet the expenditures required for operating our business for at least the next 12 months.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as of September 30,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long-term debt, capital lease obligations, operating lease obligations or long-term liabilities, other than described below.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underwriter is entitled to a deferred fee of $0.35 per Unit, or $8,750,000 in the aggregate (or $10,062,500 if the underwriters’ over-allotment is exercised in full). The deferred fee will become payable to the underwriters from the amounts held in the Trust Account solely in the event that we complete a Business Combination, subject to the terms of the underwriting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not identified any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our condensed financial statements.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2020. Based upon their evaluation, our Chief Executive Officer and Chief Financial Officer concluded that, as of September 30, 2020, our disclosure controls and procedures (as defined in Rules 13a-15 (e) and 15d-15 (e) under the Exchange Act)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report that have materially affected, or are reasonably likely to materially affect, our internal control over financial reporting.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Quarterly Report include the risk factors described in our final prospectus filed with the SEC on October 7, 2020. As of the date of this Quarterly Report, other than as described below, there have been no material changes to the risk factors disclosed in our final prospectus filed with the SEC.</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are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not released to us, net of taxes payable. Negative interest rates could impact the per-share redemption amount that may be received by public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2020, we consummated our Initial Public Offering of 25,000,000 Units at a price of $10.00 per Unit, generating total gross proceeds of $250,000,000. J.P. Morgan Securities LLC and Jefferies LLC acted as the book-running managers. The securities sold in the offering were registered under the Securities Act on registration statements on Form S-1 (No. 333-248899). The registration statements became effective on October 6, 2020 and registered the sale of a maximum of 28,750,000 Units. Additionally, we granted the underwriters in the Initial Public Offering a 45-day option from October 6, 2020 to purchase up to 3,750,000 additional Units.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Simultaneously with the consummation of the Initial Public Offering, we consummated a private placement of 4,666,667 Private Placement Warrants to our Sponsor at a price of $1.50 per Private Placement Warrant, generating total proceeds of $7,000,000. Such securities were issued pursuant to the exemption from registration contained in Section 4(a)(2) of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gross proceeds received from the Initial Public Offering and the sale of the Private Placement Warrants, $250,000,000 (consisting of $245,000,000 of net proceeds from the Initial Public Offering, which amount includes $8,750,000 in the form of deferred underwriting commissions, and $5,000,000 of proceeds from the sale of the Private Placement Warrants) was placed in the Trust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 total of $5,000,000 in underwriting discounts and commissions and $465,163 for other costs and expenses related to the Initial Public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underwriter agreed to defer $8,750,000 in underwriting discounts and commissions.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use of the proceeds generated in our Initial Public Offering, see Part I, Item 2 of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792" w:right="339" w:bottom="1440" w:gutter="0" w:footer="0" w:header="0"/>
        </w:sect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10.2</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10.3</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10.5</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10.6</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10.7</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31.2*</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32.1**</w:t>
      </w:r>
    </w:p>
    <w:p>
      <w:pPr>
        <w:spacing w:after="0" w:line="225"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32.2**</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101.CAL*</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19685</wp:posOffset>
            </wp:positionV>
            <wp:extent cx="713232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0" w:lineRule="exact"/>
        <w:rPr>
          <w:sz w:val="20"/>
          <w:szCs w:val="20"/>
          <w:color w:val="auto"/>
        </w:rPr>
      </w:pPr>
    </w:p>
    <w:p>
      <w:pPr>
        <w:spacing w:after="0" w:line="218" w:lineRule="auto"/>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Underwriting Agreement, dated October 6, 2020, between the Company and J.P. Morgan Securities LLC and Jefferies LLC, as</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 xml:space="preserve">representatives of the underwriters. </w:t>
        </w:r>
        <w:r>
          <w:rPr>
            <w:rFonts w:ascii="Times New Roman" w:cs="Times New Roman" w:eastAsia="Times New Roman" w:hAnsi="Times New Roman"/>
            <w:sz w:val="29"/>
            <w:szCs w:val="29"/>
            <w:u w:val="single" w:color="auto"/>
            <w:color w:val="0000EE"/>
            <w:vertAlign w:val="superscript"/>
          </w:rPr>
          <w:t>(1)</w:t>
        </w:r>
      </w:hyperlink>
    </w:p>
    <w:p>
      <w:pPr>
        <w:spacing w:after="0" w:line="185"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 xml:space="preserve">Amended and Restated Memorandum and Articles of Association.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auto"/>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 xml:space="preserve">Warrant Agreement, dated October 6, 2020, between the Company and Continental Stock Transfer &amp; Trust Company as warrant agent. </w:t>
        </w:r>
      </w:hyperlink>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Investment Management Trust Account Agreement, dated October 6, 2020, between the Company and Continental Stock Transfer &amp; Trust</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 xml:space="preserve">Company, as trustee.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5" w:lineRule="auto"/>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 xml:space="preserve">Registration and Shareholder Rights Agreement, dated October 6, 2020, between the Company and Empower Sponsor Holdings LLC. </w:t>
        </w:r>
      </w:hyperlink>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 xml:space="preserve">Private Placement Warrants Purchase Agreement, dated October 6, 2020, between the Company and Empower Sponsor Holdings LLC. </w:t>
        </w:r>
      </w:hyperlink>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Letter Agreement, dated October 6, 2020, among the Company, Empower Sponsor Holdings LLC and each of the officers and directors of</w:t>
        </w:r>
      </w:hyperlink>
      <w:r>
        <w:rPr>
          <w:rFonts w:ascii="Times New Roman" w:cs="Times New Roman" w:eastAsia="Times New Roman" w:hAnsi="Times New Roman"/>
          <w:sz w:val="18"/>
          <w:szCs w:val="18"/>
          <w:u w:val="single" w:color="auto"/>
          <w:color w:val="0000EE"/>
        </w:rPr>
        <w:t xml:space="preserve"> </w:t>
      </w:r>
      <w:hyperlink r:id="rId53">
        <w:r>
          <w:rPr>
            <w:rFonts w:ascii="Times New Roman" w:cs="Times New Roman" w:eastAsia="Times New Roman" w:hAnsi="Times New Roman"/>
            <w:sz w:val="18"/>
            <w:szCs w:val="18"/>
            <w:u w:val="single" w:color="auto"/>
            <w:color w:val="0000EE"/>
          </w:rPr>
          <w:t xml:space="preserve">the Company.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-297180</wp:posOffset>
            </wp:positionV>
            <wp:extent cx="71323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17" w:lineRule="auto"/>
        <w:rPr>
          <w:rFonts w:ascii="Times New Roman" w:cs="Times New Roman" w:eastAsia="Times New Roman" w:hAnsi="Times New Roman"/>
          <w:sz w:val="18"/>
          <w:szCs w:val="18"/>
          <w:u w:val="single" w:color="auto"/>
          <w:color w:val="0000EE"/>
        </w:rPr>
      </w:pPr>
      <w:hyperlink r:id="rId53">
        <w:r>
          <w:rPr>
            <w:rFonts w:ascii="Times New Roman" w:cs="Times New Roman" w:eastAsia="Times New Roman" w:hAnsi="Times New Roman"/>
            <w:sz w:val="18"/>
            <w:szCs w:val="18"/>
            <w:u w:val="single" w:color="auto"/>
            <w:color w:val="0000EE"/>
          </w:rPr>
          <w:t xml:space="preserve">Forward Purchase Agreement, dated October 6, 2020, between the Company and Empower Funding LLC. </w:t>
        </w:r>
        <w:r>
          <w:rPr>
            <w:rFonts w:ascii="Times New Roman" w:cs="Times New Roman" w:eastAsia="Times New Roman" w:hAnsi="Times New Roman"/>
            <w:sz w:val="29"/>
            <w:szCs w:val="29"/>
            <w:u w:val="single" w:color="auto"/>
            <w:color w:val="0000EE"/>
            <w:vertAlign w:val="superscript"/>
          </w:rPr>
          <w:t>(1)</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-26035</wp:posOffset>
            </wp:positionV>
            <wp:extent cx="713232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0" w:lineRule="auto"/>
        <w:rPr>
          <w:rFonts w:ascii="Times New Roman" w:cs="Times New Roman" w:eastAsia="Times New Roman" w:hAnsi="Times New Roman"/>
          <w:sz w:val="16"/>
          <w:szCs w:val="16"/>
          <w:u w:val="single" w:color="auto"/>
          <w:color w:val="0000EE"/>
        </w:rPr>
      </w:pPr>
      <w:hyperlink r:id="rId56">
        <w:r>
          <w:rPr>
            <w:rFonts w:ascii="Times New Roman" w:cs="Times New Roman" w:eastAsia="Times New Roman" w:hAnsi="Times New Roman"/>
            <w:sz w:val="16"/>
            <w:szCs w:val="16"/>
            <w:u w:val="single" w:color="auto"/>
            <w:color w:val="0000EE"/>
          </w:rPr>
          <w:t>Promissory Note, dated as of August 21, 2020, between the Company and Empower Sponsor Holdings LLC.</w:t>
        </w:r>
        <w:r>
          <w:rPr>
            <w:rFonts w:ascii="Times New Roman" w:cs="Times New Roman" w:eastAsia="Times New Roman" w:hAnsi="Times New Roman"/>
            <w:sz w:val="25"/>
            <w:szCs w:val="25"/>
            <w:u w:val="single" w:color="auto"/>
            <w:color w:val="0000EE"/>
            <w:vertAlign w:val="superscript"/>
          </w:rPr>
          <w:t>(2)</w:t>
        </w:r>
      </w:hyperlink>
    </w:p>
    <w:p>
      <w:pPr>
        <w:spacing w:after="0" w:line="220" w:lineRule="auto"/>
        <w:rPr>
          <w:rFonts w:ascii="Times New Roman" w:cs="Times New Roman" w:eastAsia="Times New Roman" w:hAnsi="Times New Roman"/>
          <w:sz w:val="18"/>
          <w:szCs w:val="18"/>
          <w:u w:val="single" w:color="auto"/>
          <w:color w:val="0000EE"/>
        </w:rPr>
      </w:pPr>
      <w:hyperlink r:id="rId56">
        <w:r>
          <w:rPr>
            <w:rFonts w:ascii="Times New Roman" w:cs="Times New Roman" w:eastAsia="Times New Roman" w:hAnsi="Times New Roman"/>
            <w:sz w:val="18"/>
            <w:szCs w:val="18"/>
            <w:u w:val="single" w:color="auto"/>
            <w:color w:val="0000EE"/>
          </w:rPr>
          <w:t xml:space="preserve">Securities Subscription Agreement, dated as of August 21, 2020, between the Company and Empower Sponsor Holdings LLC </w:t>
        </w:r>
      </w:hyperlink>
      <w:r>
        <w:rPr>
          <w:rFonts w:ascii="Times New Roman" w:cs="Times New Roman" w:eastAsia="Times New Roman" w:hAnsi="Times New Roman"/>
          <w:sz w:val="29"/>
          <w:szCs w:val="29"/>
          <w:u w:val="single" w:color="auto"/>
          <w:color w:val="0000EE"/>
          <w:vertAlign w:val="superscript"/>
        </w:rPr>
        <w:t>(2)</w:t>
      </w:r>
      <w:r>
        <w:rPr>
          <w:rFonts w:ascii="Times New Roman" w:cs="Times New Roman" w:eastAsia="Times New Roman" w:hAnsi="Times New Roman"/>
          <w:sz w:val="18"/>
          <w:szCs w:val="18"/>
          <w:u w:val="single" w:color="auto"/>
          <w:color w:val="0000EE"/>
        </w:rPr>
        <w:t xml:space="preserve"> </w:t>
      </w:r>
      <w:hyperlink w:anchor="page21">
        <w:r>
          <w:rPr>
            <w:rFonts w:ascii="Times New Roman" w:cs="Times New Roman" w:eastAsia="Times New Roman" w:hAnsi="Times New Roman"/>
            <w:sz w:val="18"/>
            <w:szCs w:val="18"/>
            <w:u w:val="single" w:color="auto"/>
            <w:color w:val="0000EE"/>
          </w:rPr>
          <w:t>Certification of Principal Executive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1">
        <w:r>
          <w:rPr>
            <w:rFonts w:ascii="Times New Roman" w:cs="Times New Roman" w:eastAsia="Times New Roman" w:hAnsi="Times New Roman"/>
            <w:sz w:val="18"/>
            <w:szCs w:val="18"/>
            <w:u w:val="single" w:color="auto"/>
            <w:color w:val="0000EE"/>
          </w:rPr>
          <w:t>Section 302 of the Sarbanes-Oxley Act of 2002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-718185</wp:posOffset>
            </wp:positionH>
            <wp:positionV relativeFrom="paragraph">
              <wp:posOffset>-272415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Certification of Principal Financial Officer Pursuant to Securities Exchange Act Rules 13a-14(a) and 15(d)-14(a), as adopted Pursuant to</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EE"/>
        </w:rPr>
      </w:pPr>
      <w:hyperlink w:anchor="page23">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Act of 2002</w:t>
        </w:r>
      </w:hyperlink>
    </w:p>
    <w:p>
      <w:pPr>
        <w:spacing w:after="0" w:line="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24">
        <w:r>
          <w:rPr>
            <w:rFonts w:ascii="Times New Roman" w:cs="Times New Roman" w:eastAsia="Times New Roman" w:hAnsi="Times New Roman"/>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900" w:space="240"/>
            <w:col w:w="10100"/>
          </w:cols>
          <w:pgMar w:left="320" w:top="792" w:right="339" w:bottom="1440" w:gutter="0" w:footer="0" w:header="0"/>
          <w:type w:val="continuous"/>
        </w:sectPr>
      </w:pPr>
    </w:p>
    <w:p>
      <w:pPr>
        <w:spacing w:after="0" w:line="34" w:lineRule="exact"/>
        <w:rPr>
          <w:sz w:val="20"/>
          <w:szCs w:val="20"/>
          <w:color w:val="auto"/>
        </w:rPr>
      </w:pPr>
    </w:p>
    <w:p>
      <w:pPr>
        <w:ind w:right="9820" w:firstLine="8"/>
        <w:spacing w:after="0" w:line="261"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ind w:left="340" w:hanging="332"/>
        <w:spacing w:after="0" w:line="180" w:lineRule="auto"/>
        <w:tabs>
          <w:tab w:leader="none" w:pos="3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Previously filed as an exhibit to our Current Report on Form 8-K filed on October 13, 2020 and incorporated by reference herein.</w:t>
      </w:r>
    </w:p>
    <w:p>
      <w:pPr>
        <w:spacing w:after="0" w:line="2" w:lineRule="exact"/>
        <w:rPr>
          <w:rFonts w:ascii="Times New Roman" w:cs="Times New Roman" w:eastAsia="Times New Roman" w:hAnsi="Times New Roman"/>
          <w:sz w:val="25"/>
          <w:szCs w:val="25"/>
          <w:color w:val="auto"/>
          <w:vertAlign w:val="superscript"/>
        </w:rPr>
      </w:pPr>
    </w:p>
    <w:p>
      <w:pPr>
        <w:ind w:left="340" w:hanging="332"/>
        <w:spacing w:after="0" w:line="187"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Previously filed as an exhibit to our Registration Statement on Form S-1 (No. 333-248899) filed on September 18, 2020 and incorporated herein by reference.</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ectPr>
          <w:pgSz w:w="11900" w:h="16838" w:orient="portrait"/>
          <w:cols w:equalWidth="0" w:num="1">
            <w:col w:w="11220"/>
          </w:cols>
          <w:pgMar w:left="320" w:top="7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19, 2020</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EMPOWER LTD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Matthew Rubel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Matthew Rubel</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Andrew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17145</wp:posOffset>
            </wp:positionV>
            <wp:extent cx="249428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Spring</w:t>
      </w:r>
    </w:p>
    <w:p>
      <w:pPr>
        <w:spacing w:after="0" w:line="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6040" w:space="720"/>
            <w:col w:w="4460"/>
          </w:cols>
          <w:pgMar w:left="320" w:top="792" w:right="359" w:bottom="1440" w:gutter="0" w:footer="0" w:header="0"/>
          <w:type w:val="continuous"/>
        </w:sectPr>
      </w:pP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type w:val="continuous"/>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Rubel, certify that:</w:t>
      </w:r>
    </w:p>
    <w:p>
      <w:pPr>
        <w:spacing w:after="0" w:line="225" w:lineRule="exact"/>
        <w:rPr>
          <w:sz w:val="20"/>
          <w:szCs w:val="20"/>
          <w:color w:val="auto"/>
        </w:rPr>
      </w:pPr>
    </w:p>
    <w:p>
      <w:pPr>
        <w:ind w:left="680" w:hanging="335"/>
        <w:spacing w:after="0"/>
        <w:tabs>
          <w:tab w:leader="none" w:pos="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Empower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19, 2020</w:t>
      </w:r>
      <w:r>
        <w:rPr>
          <w:sz w:val="20"/>
          <w:szCs w:val="20"/>
          <w:color w:val="auto"/>
        </w:rPr>
        <w:tab/>
      </w:r>
      <w:r>
        <w:rPr>
          <w:rFonts w:ascii="Times New Roman" w:cs="Times New Roman" w:eastAsia="Times New Roman" w:hAnsi="Times New Roman"/>
          <w:sz w:val="18"/>
          <w:szCs w:val="18"/>
          <w:color w:val="auto"/>
        </w:rPr>
        <w:t>By:</w:t>
        <w:tab/>
        <w:t>/s/ Matthew Rubel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Rubel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Spring, certify that:</w:t>
      </w:r>
    </w:p>
    <w:p>
      <w:pPr>
        <w:spacing w:after="0" w:line="225" w:lineRule="exact"/>
        <w:rPr>
          <w:sz w:val="20"/>
          <w:szCs w:val="20"/>
          <w:color w:val="auto"/>
        </w:rPr>
      </w:pPr>
    </w:p>
    <w:p>
      <w:pPr>
        <w:ind w:left="680" w:hanging="335"/>
        <w:spacing w:after="0"/>
        <w:tabs>
          <w:tab w:leader="none" w:pos="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Empower LTD.;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Andrew Spring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Empower LTD. (the “Company”) on Form 10-Q for the quarterly period ended September 30, 2020, as filed with the Securities and Exchange Commission (the “Report”), I, Matthew Rubel, Chief Executive Officer of the Company, certify, pursuant to 18 U.S.C. §1350, as adopted pursuant to §906 of the Sarbanes-Oxley Act of 2002, that, to my knowledge:</w:t>
      </w:r>
    </w:p>
    <w:p>
      <w:pPr>
        <w:spacing w:after="0" w:line="176" w:lineRule="exact"/>
        <w:rPr>
          <w:sz w:val="20"/>
          <w:szCs w:val="20"/>
          <w:color w:val="auto"/>
        </w:rPr>
      </w:pPr>
    </w:p>
    <w:p>
      <w:pPr>
        <w:ind w:left="680" w:hanging="335"/>
        <w:spacing w:after="0"/>
        <w:tabs>
          <w:tab w:leader="none" w:pos="6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19, 2020</w:t>
      </w:r>
      <w:r>
        <w:rPr>
          <w:sz w:val="20"/>
          <w:szCs w:val="20"/>
          <w:color w:val="auto"/>
        </w:rPr>
        <w:tab/>
      </w:r>
      <w:r>
        <w:rPr>
          <w:rFonts w:ascii="Times New Roman" w:cs="Times New Roman" w:eastAsia="Times New Roman" w:hAnsi="Times New Roman"/>
          <w:sz w:val="18"/>
          <w:szCs w:val="18"/>
          <w:color w:val="auto"/>
        </w:rPr>
        <w:t>By:</w:t>
        <w:tab/>
        <w:t>/s/ Matthew Rubel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Rubel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Empower LTD. (the “Company”) on Form 10-Q for the quarterly period ended September 30, 2020, as filed with the Securities and Exchange Commission (the “Report”), I, Andrew Spring, Chief Financial Officer of the Company, certify, pursuant to 18 U.S.C. §1350, as adopted pursuant to §906 of the Sarbanes-Oxley Act of 2002, that to my knowledge:</w:t>
      </w:r>
    </w:p>
    <w:p>
      <w:pPr>
        <w:spacing w:after="0" w:line="176" w:lineRule="exact"/>
        <w:rPr>
          <w:sz w:val="20"/>
          <w:szCs w:val="20"/>
          <w:color w:val="auto"/>
        </w:rPr>
      </w:pPr>
    </w:p>
    <w:p>
      <w:pPr>
        <w:ind w:left="680" w:hanging="335"/>
        <w:spacing w:after="0"/>
        <w:tabs>
          <w:tab w:leader="none" w:pos="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Spring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Andrew Spring</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25E45D32"/>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4">
    <w:nsid w:val="519B500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5">
    <w:nsid w:val="431BD7B7"/>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abstractNum>
  <w:abstractNum w:abstractNumId="17">
    <w:nsid w:val="7C83E458"/>
    <w:multiLevelType w:val="hybridMultilevel"/>
    <w:lvl w:ilvl="0">
      <w:lvlJc w:val="left"/>
      <w:lvlText w:val="%1."/>
      <w:numFmt w:val="decimal"/>
      <w:start w:val="2"/>
    </w:lvl>
    <w:lvl w:ilvl="1">
      <w:lvlJc w:val="left"/>
      <w:lvlText w:val="%2"/>
      <w:numFmt w:val="decimal"/>
      <w:start w:val="1"/>
    </w:lvl>
  </w:abstractNum>
  <w:abstractNum w:abstractNumId="18">
    <w:nsid w:val="257130A3"/>
    <w:multiLevelType w:val="hybridMultilevel"/>
    <w:lvl w:ilvl="0">
      <w:lvlJc w:val="left"/>
      <w:lvlText w:val="%1"/>
      <w:numFmt w:val="decimal"/>
      <w:start w:val="1"/>
    </w:lvl>
    <w:lvl w:ilvl="1">
      <w:lvlJc w:val="left"/>
      <w:lvlText w:val="%2."/>
      <w:numFmt w:val="decimal"/>
      <w:start w:val="1"/>
    </w:lvl>
  </w:abstractNum>
  <w:abstractNum w:abstractNumId="19">
    <w:nsid w:val="62BBD95A"/>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50"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45" Type="http://schemas.openxmlformats.org/officeDocument/2006/relationships/hyperlink" Target="http://www.sec.gov/Archives/edgar/data/1822928/000121390020031102/ea128113ex1-1_empowerltd.htm" TargetMode="External"/><Relationship Id="rId46" Type="http://schemas.openxmlformats.org/officeDocument/2006/relationships/hyperlink" Target="http://www.sec.gov/Archives/edgar/data/1822928/000121390020031102/ea128113ex3-1_empowerltd.htm" TargetMode="External"/><Relationship Id="rId48" Type="http://schemas.openxmlformats.org/officeDocument/2006/relationships/hyperlink" Target="http://www.sec.gov/Archives/edgar/data/1822928/000121390020031102/ea128113ex4-1_empowerltd.htm" TargetMode="External"/><Relationship Id="rId49" Type="http://schemas.openxmlformats.org/officeDocument/2006/relationships/hyperlink" Target="http://www.sec.gov/Archives/edgar/data/1822928/000121390020031102/ea128113ex10-1_empowerltd.htm" TargetMode="External"/><Relationship Id="rId51" Type="http://schemas.openxmlformats.org/officeDocument/2006/relationships/hyperlink" Target="http://www.sec.gov/Archives/edgar/data/1822928/000121390020031102/ea128113ex10-2_empowerltd.htm" TargetMode="External"/><Relationship Id="rId52" Type="http://schemas.openxmlformats.org/officeDocument/2006/relationships/hyperlink" Target="http://www.sec.gov/Archives/edgar/data/1822928/000121390020031102/ea128113ex10-3_empowerltd.htm" TargetMode="External"/><Relationship Id="rId53" Type="http://schemas.openxmlformats.org/officeDocument/2006/relationships/hyperlink" Target="http://www.sec.gov/Archives/edgar/data/1822928/000121390020031102/ea128113ex10-5_empowerltd.htm" TargetMode="External"/><Relationship Id="rId56" Type="http://schemas.openxmlformats.org/officeDocument/2006/relationships/hyperlink" Target="http://www.sec.gov/Archives/edgar/data/1822928/000121390020027362/fs12020_empow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2020-11-20T05:13:40Z</dcterms:created>
  <dcterms:modified xsi:type="dcterms:W3CDTF">2020-11-20T05:13:40Z</dcterms:modified>
</cp:coreProperties>
</file>