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16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160"/>
        <w:jc w:val="center"/>
        <w:rPr>
          <w:rFonts w:ascii="Arial;sans-serif" w:hAnsi="Arial;sans-serif"/>
          <w:b/>
          <w:color w:val="000000"/>
          <w:sz w:val="24"/>
        </w:rPr>
      </w:pPr>
      <w:r>
        <w:rPr>
          <w:rFonts w:ascii="Arial;sans-serif" w:hAnsi="Arial;sans-serif"/>
          <w:b/>
          <w:color w:val="000000"/>
          <w:sz w:val="24"/>
        </w:rPr>
        <w:t>FORM 10-Q</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160"/>
        <w:jc w:val="center"/>
        <w:rPr>
          <w:rFonts w:ascii="Arial;sans-serif" w:hAnsi="Arial;sans-serif"/>
          <w:b/>
          <w:color w:val="000000"/>
          <w:sz w:val="18"/>
        </w:rPr>
      </w:pPr>
      <w:r>
        <w:rPr>
          <w:rFonts w:ascii="Arial;sans-serif" w:hAnsi="Arial;sans-serif"/>
          <w:b/>
          <w:color w:val="000000"/>
          <w:sz w:val="18"/>
        </w:rPr>
        <w:t>For the quarterly period ended June 28, 2026</w:t>
      </w:r>
    </w:p>
    <w:p>
      <w:pPr>
        <w:pStyle w:val="TextBody"/>
        <w:bidi w:val="0"/>
        <w:spacing w:lineRule="auto" w:line="288" w:before="0" w:after="160"/>
        <w:jc w:val="center"/>
        <w:rPr>
          <w:rFonts w:ascii="Arial;sans-serif" w:hAnsi="Arial;sans-serif"/>
          <w:b/>
          <w:color w:val="000000"/>
          <w:sz w:val="18"/>
        </w:rPr>
      </w:pPr>
      <w:r>
        <w:rPr>
          <w:rFonts w:ascii="Arial;sans-serif" w:hAnsi="Arial;sans-serif"/>
          <w:b/>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For the transition period from __________to__________</w:t>
      </w:r>
    </w:p>
    <w:p>
      <w:pPr>
        <w:pStyle w:val="TextBody"/>
        <w:bidi w:val="0"/>
        <w:spacing w:lineRule="auto" w:line="288" w:before="0" w:after="200"/>
        <w:jc w:val="center"/>
        <w:rPr>
          <w:rFonts w:ascii="Arial;sans-serif" w:hAnsi="Arial;sans-serif"/>
          <w:b/>
          <w:color w:val="000000"/>
          <w:sz w:val="18"/>
        </w:rPr>
      </w:pPr>
      <w:r>
        <w:rPr>
          <w:rFonts w:ascii="Arial;sans-serif" w:hAnsi="Arial;sans-serif"/>
          <w:b/>
          <w:color w:val="000000"/>
          <w:sz w:val="18"/>
        </w:rPr>
        <w:t>Commission file number: 001-39599</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HOLLEY INC.</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6360" w:type="dxa"/>
        <w:jc w:val="left"/>
        <w:tblInd w:w="0" w:type="dxa"/>
        <w:tblLayout w:type="fixed"/>
        <w:tblCellMar>
          <w:top w:w="28" w:type="dxa"/>
          <w:left w:w="28" w:type="dxa"/>
          <w:bottom w:w="28" w:type="dxa"/>
          <w:right w:w="28" w:type="dxa"/>
        </w:tblCellMar>
      </w:tblPr>
      <w:tblGrid>
        <w:gridCol w:w="1432"/>
        <w:gridCol w:w="1258"/>
        <w:gridCol w:w="1270"/>
        <w:gridCol w:w="701"/>
        <w:gridCol w:w="701"/>
        <w:gridCol w:w="998"/>
      </w:tblGrid>
      <w:tr>
        <w:trPr/>
        <w:tc>
          <w:tcPr>
            <w:tcW w:w="143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Delaware</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87-1727560</w:t>
            </w:r>
          </w:p>
        </w:tc>
      </w:tr>
      <w:tr>
        <w:trPr/>
        <w:tc>
          <w:tcPr>
            <w:tcW w:w="3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(State or other jurisdiction of incorporation or organization)</w:t>
            </w:r>
          </w:p>
        </w:tc>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1A Burton Hills Blvd, Suite 240, Nashville, TN 37215</w:t>
      </w:r>
    </w:p>
    <w:p>
      <w:pPr>
        <w:pStyle w:val="TextBody"/>
        <w:bidi w:val="0"/>
        <w:spacing w:lineRule="auto" w:line="288" w:before="0" w:after="200"/>
        <w:jc w:val="center"/>
        <w:rPr>
          <w:rFonts w:ascii="Arial;sans-serif" w:hAnsi="Arial;sans-serif"/>
          <w:b/>
          <w:color w:val="000000"/>
          <w:sz w:val="14"/>
        </w:rPr>
      </w:pPr>
      <w:r>
        <w:rPr>
          <w:rFonts w:ascii="Arial;sans-serif" w:hAnsi="Arial;sans-serif"/>
          <w:b/>
          <w:color w:val="000000"/>
          <w:sz w:val="14"/>
        </w:rPr>
        <w:t>(Address of principal executive offices)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(270) 782-2900</w:t>
      </w:r>
    </w:p>
    <w:p>
      <w:pPr>
        <w:pStyle w:val="TextBody"/>
        <w:bidi w:val="0"/>
        <w:spacing w:lineRule="auto" w:line="288" w:before="0" w:after="20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lineRule="auto" w:line="288" w:before="0" w:after="240"/>
        <w:jc w:val="center"/>
        <w:rPr>
          <w:rFonts w:ascii="Arial;sans-serif" w:hAnsi="Arial;sans-serif"/>
          <w:b/>
          <w:color w:val="000000"/>
          <w:sz w:val="14"/>
        </w:rPr>
      </w:pPr>
      <w:r>
        <w:rPr>
          <w:rFonts w:ascii="Arial;sans-serif" w:hAnsi="Arial;sans-serif"/>
          <w:b/>
          <w:color w:val="000000"/>
          <w:sz w:val="14"/>
        </w:rPr>
        <w:t>(Former name, former address and former fiscal year, if changed since last report) N/A</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6861" w:type="dxa"/>
        <w:jc w:val="left"/>
        <w:tblInd w:w="0" w:type="dxa"/>
        <w:tblLayout w:type="fixed"/>
        <w:tblCellMar>
          <w:top w:w="28" w:type="dxa"/>
          <w:left w:w="28" w:type="dxa"/>
          <w:bottom w:w="28" w:type="dxa"/>
          <w:right w:w="28" w:type="dxa"/>
        </w:tblCellMar>
      </w:tblPr>
      <w:tblGrid>
        <w:gridCol w:w="1063"/>
        <w:gridCol w:w="933"/>
        <w:gridCol w:w="943"/>
        <w:gridCol w:w="109"/>
        <w:gridCol w:w="109"/>
        <w:gridCol w:w="109"/>
        <w:gridCol w:w="319"/>
        <w:gridCol w:w="319"/>
        <w:gridCol w:w="321"/>
        <w:gridCol w:w="109"/>
        <w:gridCol w:w="109"/>
        <w:gridCol w:w="109"/>
        <w:gridCol w:w="675"/>
        <w:gridCol w:w="675"/>
        <w:gridCol w:w="959"/>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Name of each exchange</w:t>
              <w:br/>
              <w:t>on which registered</w:t>
            </w:r>
          </w:p>
        </w:tc>
      </w:tr>
      <w:tr>
        <w:trPr/>
        <w:tc>
          <w:tcPr>
            <w:tcW w:w="293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HLLY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0" w:after="240"/>
        <w:jc w:val="both"/>
        <w:rPr/>
      </w:pPr>
      <w:r>
        <w:rPr>
          <w:rFonts w:ascii="Arial;sans-serif" w:hAnsi="Arial;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240"/>
        <w:jc w:val="both"/>
        <w:rPr/>
      </w:pPr>
      <w:r>
        <w:rPr>
          <w:rFonts w:ascii="Arial;sans-serif" w:hAnsi="Arial;sans-serif"/>
          <w:b w:val="false"/>
          <w:color w:val="000000"/>
          <w:sz w:val="18"/>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0" w:after="20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12"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769"/>
        <w:gridCol w:w="769"/>
        <w:gridCol w:w="772"/>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8"/>
              </w:rPr>
            </w:pPr>
            <w:r>
              <w:rPr>
                <w:rFonts w:ascii="Wingdings;sans-serif" w:hAnsi="Wingdings;sans-serif"/>
                <w:b w:val="false"/>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0" w:after="240"/>
        <w:jc w:val="both"/>
        <w:rPr/>
      </w:pPr>
      <w:r>
        <w:rPr>
          <w:rFonts w:ascii="Arial;sans-serif" w:hAnsi="Arial;sans-serif"/>
          <w:b w:val="false"/>
          <w:color w:val="000000"/>
          <w:sz w:val="18"/>
        </w:rPr>
        <w:t xml:space="preserve">Indicate by check mark whether the registrant is a shell company (as defined in Rule12b-2 of the Exchange Act). Yes </w:t>
      </w:r>
      <w:r>
        <w:rPr>
          <w:rFonts w:ascii="Wingdings;sans-serif" w:hAnsi="Wingdings;sans-serif"/>
          <w:b w:val="false"/>
          <w:color w:val="000000"/>
          <w:sz w:val="18"/>
        </w:rPr>
        <w:t>o</w:t>
      </w:r>
      <w:r>
        <w:rPr>
          <w:color w:val="000000"/>
        </w:rPr>
        <w:t xml:space="preserve"> </w:t>
      </w:r>
      <w:r>
        <w:rPr>
          <w:rFonts w:ascii="Arial;sans-serif" w:hAnsi="Arial;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120"/>
        <w:jc w:val="both"/>
        <w:rPr/>
      </w:pPr>
      <w:r>
        <w:rPr>
          <w:rFonts w:ascii="Arial;sans-serif" w:hAnsi="Arial;sans-serif"/>
          <w:b w:val="false"/>
          <w:color w:val="000000"/>
          <w:sz w:val="18"/>
        </w:rPr>
        <w:t>There were 121,234,143</w:t>
      </w:r>
      <w:r>
        <w:rPr>
          <w:color w:val="000000"/>
          <w:shd w:fill="FFFFFF" w:val="clear"/>
        </w:rPr>
        <w:t xml:space="preserve"> </w:t>
      </w:r>
      <w:r>
        <w:rPr>
          <w:rFonts w:ascii="Arial;sans-serif" w:hAnsi="Arial;sans-serif"/>
          <w:b w:val="false"/>
          <w:color w:val="000000"/>
          <w:sz w:val="18"/>
          <w:shd w:fill="FFFFFF" w:val="clear"/>
        </w:rPr>
        <w:t>s</w:t>
      </w:r>
      <w:r>
        <w:rPr>
          <w:rFonts w:ascii="Arial;sans-serif" w:hAnsi="Arial;sans-serif"/>
          <w:b w:val="false"/>
          <w:color w:val="000000"/>
          <w:sz w:val="18"/>
        </w:rPr>
        <w:t>hares of Common Stock, excluding 707,113 treasury shares and including 1,093,750 restricted earn-out shares, par value $0.0001 per share, issued and outstanding as o</w:t>
      </w:r>
      <w:r>
        <w:rPr>
          <w:rFonts w:ascii="Arial;sans-serif" w:hAnsi="Arial;sans-serif"/>
          <w:b w:val="false"/>
          <w:color w:val="000000"/>
          <w:sz w:val="18"/>
          <w:shd w:fill="FFFFFF" w:val="clear"/>
        </w:rPr>
        <w:t xml:space="preserve">f </w:t>
      </w:r>
      <w:r>
        <w:rPr>
          <w:rFonts w:ascii="Arial;sans-serif" w:hAnsi="Arial;sans-serif"/>
          <w:b w:val="false"/>
          <w:color w:val="000000"/>
          <w:sz w:val="18"/>
        </w:rPr>
        <w:t>August 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0"/>
                <wp:effectExtent l="0" t="0" r="0" b="0"/>
                <wp:wrapNone/>
                <wp:docPr id="1" name="Frame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8967" w:type="dxa"/>
        <w:jc w:val="left"/>
        <w:tblInd w:w="0" w:type="dxa"/>
        <w:tblLayout w:type="fixed"/>
        <w:tblCellMar>
          <w:top w:w="28" w:type="dxa"/>
          <w:left w:w="28" w:type="dxa"/>
          <w:bottom w:w="28" w:type="dxa"/>
          <w:right w:w="28" w:type="dxa"/>
        </w:tblCellMar>
      </w:tblPr>
      <w:tblGrid>
        <w:gridCol w:w="3111"/>
        <w:gridCol w:w="2736"/>
        <w:gridCol w:w="2748"/>
        <w:gridCol w:w="109"/>
        <w:gridCol w:w="109"/>
        <w:gridCol w:w="154"/>
      </w:tblGrid>
      <w:tr>
        <w:trPr/>
        <w:tc>
          <w:tcPr>
            <w:tcW w:w="3111"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3">
              <w:r>
                <w:rPr>
                  <w:rStyle w:val="InternetLink"/>
                  <w:rFonts w:ascii="Arial;sans-serif" w:hAnsi="Arial;sans-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6">
              <w:r>
                <w:rPr>
                  <w:rStyle w:val="InternetLink"/>
                  <w:rFonts w:ascii="Arial;sans-serif" w:hAnsi="Arial;sans-serif"/>
                  <w:b w:val="false"/>
                  <w:color w:val="0000FF"/>
                  <w:sz w:val="20"/>
                  <w:u w:val="singl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6">
              <w:r>
                <w:rPr>
                  <w:rStyle w:val="InternetLink"/>
                  <w:rFonts w:ascii="Arial;sans-serif" w:hAnsi="Arial;sans-serif"/>
                  <w:b w:val="false"/>
                  <w:color w:val="0000FF"/>
                  <w:sz w:val="20"/>
                  <w:u w:val="single"/>
                </w:rPr>
                <w:t>5</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88">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88">
              <w:r>
                <w:rPr>
                  <w:rStyle w:val="InternetLink"/>
                  <w:rFonts w:ascii="Arial;sans-serif" w:hAnsi="Arial;sans-serif"/>
                  <w:b w:val="false"/>
                  <w:color w:val="0000FF"/>
                  <w:sz w:val="20"/>
                  <w:u w:val="single"/>
                </w:rPr>
                <w:t>31</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30">
              <w:r>
                <w:rPr>
                  <w:rStyle w:val="InternetLink"/>
                  <w:rFonts w:ascii="Arial;sans-serif" w:hAnsi="Arial;sans-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30">
              <w:r>
                <w:rPr>
                  <w:rStyle w:val="InternetLink"/>
                  <w:rFonts w:ascii="Arial;sans-serif" w:hAnsi="Arial;sans-serif"/>
                  <w:b w:val="false"/>
                  <w:color w:val="0000FF"/>
                  <w:sz w:val="20"/>
                  <w:u w:val="single"/>
                </w:rPr>
                <w:t>43</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33">
              <w:r>
                <w:rPr>
                  <w:rStyle w:val="InternetLink"/>
                  <w:rFonts w:ascii="Arial;sans-serif" w:hAnsi="Arial;sans-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33">
              <w:r>
                <w:rPr>
                  <w:rStyle w:val="InternetLink"/>
                  <w:rFonts w:ascii="Arial;sans-serif" w:hAnsi="Arial;sans-serif"/>
                  <w:b w:val="false"/>
                  <w:color w:val="0000FF"/>
                  <w:sz w:val="20"/>
                  <w:u w:val="single"/>
                </w:rPr>
                <w:t>44</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36">
              <w:r>
                <w:rPr>
                  <w:rStyle w:val="InternetLink"/>
                  <w:rFonts w:ascii="Arial;sans-serif" w:hAnsi="Arial;sans-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39">
              <w:r>
                <w:rPr>
                  <w:rStyle w:val="InternetLink"/>
                  <w:rFonts w:ascii="Arial;sans-serif" w:hAnsi="Arial;sans-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39">
              <w:r>
                <w:rPr>
                  <w:rStyle w:val="InternetLink"/>
                  <w:rFonts w:ascii="Arial;sans-serif" w:hAnsi="Arial;sans-serif"/>
                  <w:b w:val="false"/>
                  <w:color w:val="0000FF"/>
                  <w:sz w:val="20"/>
                  <w:u w:val="single"/>
                </w:rPr>
                <w:t>45</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42">
              <w:r>
                <w:rPr>
                  <w:rStyle w:val="InternetLink"/>
                  <w:rFonts w:ascii="Arial;sans-serif" w:hAnsi="Arial;sans-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42">
              <w:r>
                <w:rPr>
                  <w:rStyle w:val="InternetLink"/>
                  <w:rFonts w:ascii="Arial;sans-serif" w:hAnsi="Arial;sans-serif"/>
                  <w:b w:val="false"/>
                  <w:color w:val="0000FF"/>
                  <w:sz w:val="20"/>
                  <w:u w:val="single"/>
                </w:rPr>
                <w:t>45</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45">
              <w:r>
                <w:rPr>
                  <w:rStyle w:val="InternetLink"/>
                  <w:rFonts w:ascii="Arial;sans-serif" w:hAnsi="Arial;sans-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45">
              <w:r>
                <w:rPr>
                  <w:rStyle w:val="InternetLink"/>
                  <w:rFonts w:ascii="Arial;sans-serif" w:hAnsi="Arial;sans-serif"/>
                  <w:b w:val="false"/>
                  <w:color w:val="0000FF"/>
                  <w:sz w:val="20"/>
                  <w:u w:val="single"/>
                </w:rPr>
                <w:t>45</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48">
              <w:r>
                <w:rPr>
                  <w:rStyle w:val="InternetLink"/>
                  <w:rFonts w:ascii="Arial;sans-serif" w:hAnsi="Arial;sans-serif"/>
                  <w:b w:val="false"/>
                  <w:color w:val="0000FF"/>
                  <w:sz w:val="20"/>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48">
              <w:r>
                <w:rPr>
                  <w:rStyle w:val="InternetLink"/>
                  <w:rFonts w:ascii="Arial;sans-serif" w:hAnsi="Arial;sans-serif"/>
                  <w:b w:val="false"/>
                  <w:color w:val="0000FF"/>
                  <w:sz w:val="20"/>
                  <w:u w:val="single"/>
                </w:rPr>
                <w:t>45</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51">
              <w:r>
                <w:rPr>
                  <w:rStyle w:val="InternetLink"/>
                  <w:rFonts w:ascii="Arial;sans-serif" w:hAnsi="Arial;sans-serif"/>
                  <w:b w:val="false"/>
                  <w:color w:val="0000FF"/>
                  <w:sz w:val="20"/>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51">
              <w:r>
                <w:rPr>
                  <w:rStyle w:val="InternetLink"/>
                  <w:rFonts w:ascii="Arial;sans-serif" w:hAnsi="Arial;sans-serif"/>
                  <w:b w:val="false"/>
                  <w:color w:val="0000FF"/>
                  <w:sz w:val="20"/>
                  <w:u w:val="single"/>
                </w:rPr>
                <w:t>45</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54">
              <w:r>
                <w:rPr>
                  <w:rStyle w:val="InternetLink"/>
                  <w:rFonts w:ascii="Arial;sans-serif" w:hAnsi="Arial;sans-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54">
              <w:r>
                <w:rPr>
                  <w:rStyle w:val="InternetLink"/>
                  <w:rFonts w:ascii="Arial;sans-serif" w:hAnsi="Arial;sans-serif"/>
                  <w:b w:val="false"/>
                  <w:color w:val="0000FF"/>
                  <w:sz w:val="20"/>
                  <w:u w:val="single"/>
                </w:rPr>
                <w:t>45</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57">
              <w:r>
                <w:rPr>
                  <w:rStyle w:val="InternetLink"/>
                  <w:rFonts w:ascii="Arial;sans-serif" w:hAnsi="Arial;sans-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57">
              <w:r>
                <w:rPr>
                  <w:rStyle w:val="InternetLink"/>
                  <w:rFonts w:ascii="Arial;sans-serif" w:hAnsi="Arial;sans-serif"/>
                  <w:b w:val="false"/>
                  <w:color w:val="0000FF"/>
                  <w:sz w:val="20"/>
                  <w:u w:val="single"/>
                </w:rPr>
                <w:t>46</w:t>
              </w:r>
            </w:hyperlink>
          </w:p>
        </w:tc>
      </w:tr>
      <w:tr>
        <w:trPr/>
        <w:tc>
          <w:tcPr>
            <w:tcW w:w="8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a41f012f14e4af7975d86d21af71b6c_160">
              <w:r>
                <w:rPr>
                  <w:rStyle w:val="InternetLink"/>
                  <w:rFonts w:ascii="Arial;sans-serif" w:hAnsi="Arial;sans-serif"/>
                  <w:b w:val="false"/>
                  <w:color w:val="0000FF"/>
                  <w:sz w:val="20"/>
                  <w:u w:val="single"/>
                </w:rPr>
                <w:t>SIGNATURE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a41f012f14e4af7975d86d21af71b6c_160">
              <w:r>
                <w:rPr>
                  <w:rStyle w:val="InternetLink"/>
                  <w:rFonts w:ascii="Arial;sans-serif" w:hAnsi="Arial;sans-serif"/>
                  <w:b w:val="false"/>
                  <w:color w:val="0000FF"/>
                  <w:sz w:val="20"/>
                  <w:u w:val="single"/>
                </w:rPr>
                <w:t>47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Unless the context otherwise requires or indicates, references to "Holley," "the Company," "we," "our," and "us" are to Holley Inc. and its subsidiaries. This Quarterly Report on Form 10-Q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Actual results could differ materially due to numerous factors, including, but not limited to, the Company’s ability to do any of the following:</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execute its business strategy, including monetization of services provided and expansions in and into existing and new lines of business and successfully exiting non-core, low profit businesses;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anticipate and manage through disruptions and higher costs in manufacturing, supply chain, logistical operations, and shortages of certain company products in distribution channels;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anticipate and manage through supply shortages of key component parts used in our products and the need to shift the mix of products offered in response thereto;</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respond to the impact of geopolitical events, including military conflicts (including the conflict in Ukraine, the conflict in the Middle East and surrounding areas, the possible expansion of such conflicts and potential geopolitical consequences), the interruption from catastrophic events and problems such as terrorism, and public health crises;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identify a material weakness in our internal control over financial reporting which, if not remediated in a timely manner or at all, could affect the reliability of our financial statements;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maintain key strategic relationships with partners and resellers;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anticipate and manage through the impact of elevated interest rate levels, which cause the cost of capital to increase, as well as respond to inflationary pressures;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anticipate, manage and mitigate, the impact of changing trade policies, including tariffs;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enhance future operating and financial results, whether through anticipated organic or external growth initiatives or through the implementation of cost savings initiatives;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respond to uncertainties associated with product and service development and market acceptance;</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anticipate and manage through increased constraints in consumer demand and/or shifts in the mix of products sold;</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attract and retain qualified employees and key personnel;</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protect and enhance the Company’s corporate reputation and brand awareness;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recognition of goodwill and other intangible asset impairment charges;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effectively respond to general economic and business conditions;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acquire and protect intellectual property;</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collect, store, process and use personal and payment information and other consumer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comply with privacy and data protection laws and other legal obligations related to privacy, information security, and data protection;</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manage the impact of any security breaches, cyber-attacks, or other cybersecurity threats or incidents, or the failure of any key information technology systems;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meet future liquidity requirements and comply with restrictive covenants related to long-term indebtedness;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obtain additional capital, including through the sale of equity or debt securities;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manage to finance operations on an economically viable basis;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maintain the Company’s New York Stock Exchange (“NYSE”) listing of its common stock (“Common Stock”);</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comply with existing and/or future laws and regulations applicable to our business, including laws and regulations related to environmental health and safety or climate-related disclosures;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respond to litigation, complaints, product liability claims and/or adverse publicity;</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anticipate the significance and timing of contractual obligations;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anticipate the impact of, and response to, new accounting standards;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maintain proper and effective internal controls;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respond to the impact of changes in U.S. tax laws and regulations, including the impact on deferred tax assets;</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anticipate the impact of changes in consumer spending patterns, consumer preferences, local, regional and national economic conditions, crime, weather, and demographic trends; and</w:t>
      </w:r>
    </w:p>
    <w:p>
      <w:pPr>
        <w:pStyle w:val="TextBody"/>
        <w:bidi w:val="0"/>
        <w:spacing w:lineRule="auto" w:line="288" w:before="0" w:after="240"/>
        <w:ind w:left="0" w:right="0" w:hanging="360"/>
        <w:jc w:val="both"/>
        <w:rPr/>
      </w:pPr>
      <w:r>
        <w:rPr>
          <w:color w:val="000000"/>
        </w:rPr>
        <w:t>•</w:t>
      </w:r>
      <w:r>
        <w:rPr>
          <w:rFonts w:ascii="Arial;sans-serif" w:hAnsi="Arial;sans-serif"/>
          <w:b w:val="false"/>
          <w:color w:val="000000"/>
          <w:sz w:val="20"/>
        </w:rPr>
        <w:t>respond to other risks and factors, listed under the caption “Risk Factors” included in our Annual Report on Form 10-K for the year ended December 31, 2025, as filed with the U.S. Securities and Exchange Commission (the "SEC") on March 16, 2026, and/or as disclosed in any subsequent filings with the SEC.</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Forward-looking statements are based on information available as of the date of this Quarterly Report on Form 10-Q and our management’s expectations, forecasts and assumptions, and involve a number of judgments,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HOLLEY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CONDENSED CONSOLIDATED BALANCE SHEETS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(in thousands, except share data)</w:t>
      </w:r>
    </w:p>
    <w:p>
      <w:pPr>
        <w:pStyle w:val="TextBody"/>
        <w:bidi w:val="0"/>
        <w:spacing w:lineRule="auto" w:line="288" w:before="0" w:after="200"/>
        <w:jc w:val="center"/>
        <w:rPr>
          <w:rFonts w:ascii="Arial;sans-serif" w:hAnsi="Arial;sans-serif"/>
          <w:b w:val="false"/>
          <w:color w:val="000000"/>
          <w:sz w:val="18"/>
        </w:rPr>
      </w:pPr>
      <w:r>
        <w:rPr>
          <w:rFonts w:ascii="Arial;sans-serif" w:hAnsi="Arial;sans-serif"/>
          <w:b w:val="false"/>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860"/>
        <w:gridCol w:w="2122"/>
        <w:gridCol w:w="2142"/>
        <w:gridCol w:w="211"/>
        <w:gridCol w:w="976"/>
        <w:gridCol w:w="109"/>
        <w:gridCol w:w="109"/>
        <w:gridCol w:w="109"/>
        <w:gridCol w:w="109"/>
        <w:gridCol w:w="229"/>
        <w:gridCol w:w="1060"/>
        <w:gridCol w:w="169"/>
      </w:tblGrid>
      <w:tr>
        <w:trPr/>
        <w:tc>
          <w:tcPr>
            <w:tcW w:w="2860"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As of</w:t>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December 31, 2025</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Accounts receivable, less allowance for credit losses of $2,086 and $1,856,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57,895 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205,661 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330,611 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316,161 </w:t>
            </w:r>
          </w:p>
        </w:tc>
        <w:tc>
          <w:tcPr>
            <w:tcW w:w="16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372,340 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intangibles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396,910 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33,415 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1,162,368 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1,163,953 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60,121 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48,316 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108,133 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115,123 </w:t>
            </w:r>
          </w:p>
        </w:tc>
        <w:tc>
          <w:tcPr>
            <w:tcW w:w="16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 net of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516,078 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Warrant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Earn-out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46,540 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33,218 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712,630 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715,028 </w:t>
            </w:r>
          </w:p>
        </w:tc>
        <w:tc>
          <w:tcPr>
            <w:tcW w:w="16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Commitments and contingencies (Refer to Note 17 - Commitments and Contingencies)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$0.0001 par value, 5,000,000 shares authorized, none issued and outstanding on June 28,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 $0.0001 par value, 550,000,000 shares authorized, 120,847,506 and 119,670,987 shares issued on June 28, 2026 and December 31, 2025; and 120,140,393 and 119,670,987 shares outstanding on June 28,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384,873 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Treasury stock, at cost, 707,113 and zero shares held as of June 28,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63,920 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2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449,738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448,925</w:t>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1,162,368 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1,163,953 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HOLLEY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49"/>
        <w:gridCol w:w="1328"/>
        <w:gridCol w:w="1282"/>
        <w:gridCol w:w="230"/>
        <w:gridCol w:w="903"/>
        <w:gridCol w:w="119"/>
        <w:gridCol w:w="109"/>
        <w:gridCol w:w="109"/>
        <w:gridCol w:w="109"/>
        <w:gridCol w:w="230"/>
        <w:gridCol w:w="903"/>
        <w:gridCol w:w="119"/>
        <w:gridCol w:w="109"/>
        <w:gridCol w:w="109"/>
        <w:gridCol w:w="109"/>
        <w:gridCol w:w="230"/>
        <w:gridCol w:w="903"/>
        <w:gridCol w:w="119"/>
        <w:gridCol w:w="110"/>
        <w:gridCol w:w="110"/>
        <w:gridCol w:w="110"/>
        <w:gridCol w:w="229"/>
        <w:gridCol w:w="901"/>
        <w:gridCol w:w="176"/>
      </w:tblGrid>
      <w:tr>
        <w:trPr/>
        <w:tc>
          <w:tcPr>
            <w:tcW w:w="154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twenty-six weeks ended</w:t>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June 28, 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June 28, 2026</w:t>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June 29, 2025</w:t>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172,007 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166,661 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319,337 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319,705 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101,463 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188,057 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186,059 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1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70,544 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69,558 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131,280 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133,646 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40,427 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32,954 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69,653 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Research and development costs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on sale of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operating (income) expense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(9,341)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operating expense</w:t>
            </w:r>
          </w:p>
        </w:tc>
        <w:tc>
          <w:tcPr>
            <w:tcW w:w="113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67,779 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42,044 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111,007 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86,789 </w:t>
            </w:r>
          </w:p>
        </w:tc>
        <w:tc>
          <w:tcPr>
            <w:tcW w:w="17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2,765 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27,514 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20,273 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46,857 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warrant liability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Change in fair value of earn-out liability</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29,082 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non-operating expense</w:t>
            </w:r>
          </w:p>
        </w:tc>
        <w:tc>
          <w:tcPr>
            <w:tcW w:w="11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6,395 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13,148 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14,768 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28,598 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13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(3,630)</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14,366 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5,505 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18,259 </w:t>
            </w:r>
          </w:p>
        </w:tc>
        <w:tc>
          <w:tcPr>
            <w:tcW w:w="17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(loss)</w:t>
            </w:r>
          </w:p>
        </w:tc>
        <w:tc>
          <w:tcPr>
            <w:tcW w:w="23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(2,430)</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10,863 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4,826 </w:t>
            </w:r>
          </w:p>
        </w:tc>
        <w:tc>
          <w:tcPr>
            <w:tcW w:w="1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13,680 </w:t>
            </w:r>
          </w:p>
        </w:tc>
        <w:tc>
          <w:tcPr>
            <w:tcW w:w="17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Comprehensive income (loss):</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comprehensive income (loss)</w:t>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(4,299)</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12,102 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2,001 </w:t>
            </w:r>
          </w:p>
        </w:tc>
        <w:tc>
          <w:tcPr>
            <w:tcW w:w="1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14,634 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Common Share Data:</w:t>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basic</w:t>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120,284,587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119,162,895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120,049,592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119,005,954</w:t>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diluted</w:t>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120,284,587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119,790,625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121,148,759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119,676,684</w:t>
            </w:r>
          </w:p>
        </w:tc>
      </w:tr>
      <w:tr>
        <w:trPr/>
        <w:tc>
          <w:tcPr>
            <w:tcW w:w="4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Basic net income (loss) per share</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Diluted net income (loss) per share</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HOLLEY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CONDENSED CONSOLIDATED STATEMENTS OF CHANGES IN STOCKHOLDERS' EQUITY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share data) (unaudited)</w:t>
      </w:r>
    </w:p>
    <w:p>
      <w:pPr>
        <w:pStyle w:val="TextBody"/>
        <w:bidi w:val="0"/>
        <w:spacing w:before="0" w:after="200"/>
        <w:jc w:val="both"/>
        <w:rPr/>
      </w:pPr>
      <w:r>
        <w:rPr/>
      </w:r>
    </w:p>
    <w:tbl>
      <w:tblPr>
        <w:tblW w:w="11331" w:type="dxa"/>
        <w:jc w:val="center"/>
        <w:tblInd w:w="0" w:type="dxa"/>
        <w:tblLayout w:type="fixed"/>
        <w:tblCellMar>
          <w:top w:w="28" w:type="dxa"/>
          <w:left w:w="28" w:type="dxa"/>
          <w:bottom w:w="28" w:type="dxa"/>
          <w:right w:w="28" w:type="dxa"/>
        </w:tblCellMar>
      </w:tblPr>
      <w:tblGrid>
        <w:gridCol w:w="557"/>
        <w:gridCol w:w="291"/>
        <w:gridCol w:w="293"/>
        <w:gridCol w:w="334"/>
        <w:gridCol w:w="334"/>
        <w:gridCol w:w="338"/>
        <w:gridCol w:w="109"/>
        <w:gridCol w:w="109"/>
        <w:gridCol w:w="109"/>
        <w:gridCol w:w="203"/>
        <w:gridCol w:w="344"/>
        <w:gridCol w:w="114"/>
        <w:gridCol w:w="109"/>
        <w:gridCol w:w="109"/>
        <w:gridCol w:w="109"/>
        <w:gridCol w:w="196"/>
        <w:gridCol w:w="736"/>
        <w:gridCol w:w="109"/>
        <w:gridCol w:w="109"/>
        <w:gridCol w:w="109"/>
        <w:gridCol w:w="109"/>
        <w:gridCol w:w="282"/>
        <w:gridCol w:w="821"/>
        <w:gridCol w:w="158"/>
        <w:gridCol w:w="109"/>
        <w:gridCol w:w="109"/>
        <w:gridCol w:w="109"/>
        <w:gridCol w:w="196"/>
        <w:gridCol w:w="646"/>
        <w:gridCol w:w="109"/>
        <w:gridCol w:w="196"/>
        <w:gridCol w:w="406"/>
        <w:gridCol w:w="109"/>
        <w:gridCol w:w="375"/>
        <w:gridCol w:w="376"/>
        <w:gridCol w:w="211"/>
        <w:gridCol w:w="109"/>
        <w:gridCol w:w="109"/>
        <w:gridCol w:w="109"/>
        <w:gridCol w:w="196"/>
        <w:gridCol w:w="571"/>
        <w:gridCol w:w="109"/>
        <w:gridCol w:w="196"/>
        <w:gridCol w:w="736"/>
        <w:gridCol w:w="154"/>
      </w:tblGrid>
      <w:tr>
        <w:trPr/>
        <w:tc>
          <w:tcPr>
            <w:tcW w:w="5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Retained</w:t>
              <w:br/>
              <w:t>Earnings</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Treasury Stock</w:t>
            </w:r>
          </w:p>
        </w:tc>
        <w:tc>
          <w:tcPr>
            <w:tcW w:w="108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Total</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7"/>
              </w:rPr>
            </w:pPr>
            <w:r>
              <w:rPr>
                <w:rFonts w:ascii="Arial;sans-serif" w:hAnsi="Arial;sans-serif"/>
                <w:b w:val="false"/>
                <w:color w:val="000000"/>
                <w:sz w:val="17"/>
              </w:rPr>
              <w:t>Amount</w:t>
            </w:r>
          </w:p>
        </w:tc>
        <w:tc>
          <w:tcPr>
            <w:tcW w:w="10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Balance at December 31, 2024</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118,748,697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3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377,557 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421,152 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2,817 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Equity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Foreign currency translation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Tax withholding related to vesting of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Issuance of shares for restricted stock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333,960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Balance at March 30, 2025</w:t>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119,082,657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378,458 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(1,447)</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47,562 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424,585 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100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10,863 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10,863 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Equity compensation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Foreign currency translation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Tax withholding related to vesting of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Issuance of shares for restricted stock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323,254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Balance at June 29, 2025</w:t>
            </w:r>
          </w:p>
        </w:tc>
        <w:tc>
          <w:tcPr>
            <w:tcW w:w="100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119,405,911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3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379,610 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(208)</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58,425 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437,839 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Balance at December 31, 2025</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119,670,987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3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384,873 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448,925 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income</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Equity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Foreign currency translation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(956)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Tax withholding related to vesting of restricted stock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(996)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Issuance of shares for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298,674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Balance at March 29, 2026</w:t>
            </w:r>
          </w:p>
        </w:tc>
        <w:tc>
          <w:tcPr>
            <w:tcW w:w="10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119,969,661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385,608 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(836)</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71,177 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455,961 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Net loss</w:t>
            </w:r>
          </w:p>
        </w:tc>
        <w:tc>
          <w:tcPr>
            <w:tcW w:w="100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(2,430)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(2,430)</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Equity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Foreign currency translation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(1,869)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Tax withholding related to vesting of restricted stock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Issuance of shares for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877,845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Repurchase of common stock</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(707,113)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7"/>
              </w:rPr>
            </w:pPr>
            <w:r>
              <w:rPr>
                <w:rFonts w:ascii="Arial;sans-serif" w:hAnsi="Arial;sans-serif"/>
                <w:b/>
                <w:color w:val="000000"/>
                <w:sz w:val="17"/>
              </w:rPr>
              <w:t>Balance at June 28, 2026</w:t>
            </w:r>
          </w:p>
        </w:tc>
        <w:tc>
          <w:tcPr>
            <w:tcW w:w="100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120,847,506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385,684 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8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(2,705)</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68,747 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(707,113)</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(2,000)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7"/>
              </w:rPr>
            </w:pPr>
            <w:r>
              <w:rPr>
                <w:rFonts w:ascii="Arial;sans-serif" w:hAnsi="Arial;sans-serif"/>
                <w:b w:val="false"/>
                <w:color w:val="000000"/>
                <w:sz w:val="17"/>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7"/>
              </w:rPr>
            </w:pPr>
            <w:r>
              <w:rPr>
                <w:rFonts w:ascii="Arial;sans-serif" w:hAnsi="Arial;sans-serif"/>
                <w:b w:val="false"/>
                <w:color w:val="000000"/>
                <w:sz w:val="17"/>
              </w:rPr>
              <w:t>449,738 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17"/>
        </w:rPr>
      </w:pPr>
      <w:r>
        <w:rPr>
          <w:rFonts w:ascii="Arial;sans-serif" w:hAnsi="Arial;sans-serif"/>
          <w:b/>
          <w:color w:val="000000"/>
          <w:sz w:val="17"/>
        </w:rPr>
        <w:t>HOLLEY INC.</w:t>
      </w:r>
    </w:p>
    <w:p>
      <w:pPr>
        <w:pStyle w:val="TextBody"/>
        <w:bidi w:val="0"/>
        <w:spacing w:lineRule="auto" w:line="288" w:before="0" w:after="0"/>
        <w:jc w:val="center"/>
        <w:rPr>
          <w:rFonts w:ascii="Arial;sans-serif" w:hAnsi="Arial;sans-serif"/>
          <w:b/>
          <w:color w:val="000000"/>
          <w:sz w:val="17"/>
        </w:rPr>
      </w:pPr>
      <w:r>
        <w:rPr>
          <w:rFonts w:ascii="Arial;sans-serif" w:hAnsi="Arial;sans-serif"/>
          <w:b/>
          <w:color w:val="000000"/>
          <w:sz w:val="17"/>
        </w:rPr>
        <w:t>CONDENSED CONSOLIDATED STATEMENTS OF CASH FLOWS</w:t>
      </w:r>
    </w:p>
    <w:p>
      <w:pPr>
        <w:pStyle w:val="TextBody"/>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(in thousands) (unaudited)</w:t>
      </w:r>
    </w:p>
    <w:tbl>
      <w:tblPr>
        <w:tblW w:w="9040" w:type="dxa"/>
        <w:jc w:val="center"/>
        <w:tblInd w:w="0" w:type="dxa"/>
        <w:tblLayout w:type="fixed"/>
        <w:tblCellMar>
          <w:top w:w="28" w:type="dxa"/>
          <w:left w:w="28" w:type="dxa"/>
          <w:bottom w:w="28" w:type="dxa"/>
          <w:right w:w="28" w:type="dxa"/>
        </w:tblCellMar>
      </w:tblPr>
      <w:tblGrid>
        <w:gridCol w:w="2301"/>
        <w:gridCol w:w="2027"/>
        <w:gridCol w:w="2032"/>
        <w:gridCol w:w="234"/>
        <w:gridCol w:w="775"/>
        <w:gridCol w:w="130"/>
        <w:gridCol w:w="119"/>
        <w:gridCol w:w="119"/>
        <w:gridCol w:w="119"/>
        <w:gridCol w:w="233"/>
        <w:gridCol w:w="769"/>
        <w:gridCol w:w="182"/>
      </w:tblGrid>
      <w:tr>
        <w:trPr/>
        <w:tc>
          <w:tcPr>
            <w:tcW w:w="2301"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For the twenty-six weeks ended</w:t>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June 28, 2026</w:t>
            </w:r>
          </w:p>
        </w:tc>
        <w:tc>
          <w:tcPr>
            <w:tcW w:w="3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June 29, 2025</w:t>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ACTIVITIES:</w:t>
            </w:r>
          </w:p>
        </w:tc>
        <w:tc>
          <w:tcPr>
            <w:tcW w:w="11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Adjustments to reconcile net income to net cash from operating activities: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4,514 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6,844 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6,882 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deferred loan costs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right of use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3,138 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Loss on sale of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28,224 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Fair value adjustments to warrant liability</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(1,579)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Fair value adjustments to earn-out liability</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Fair value adjustments to interest rate collar</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(2,899)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5,243 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deferred taxes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inventory reserves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 for credit losses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Change in operating assets and liabilities: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(14,865)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13,913 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9,152 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Prepaids and other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(11,969)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(5,988)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and other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(2,864)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0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44,254 </w:t>
            </w:r>
          </w:p>
        </w:tc>
        <w:tc>
          <w:tcPr>
            <w:tcW w:w="13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32,637 </w:t>
            </w:r>
          </w:p>
        </w:tc>
        <w:tc>
          <w:tcPr>
            <w:tcW w:w="18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INVESTING ACTIVITIES: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(9,640)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(7,808)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Acquisition of license agreement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(13,090)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Business acquisition, net of cash acquired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(2,776)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the disposal of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0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(6,029)</w:t>
            </w:r>
          </w:p>
        </w:tc>
        <w:tc>
          <w:tcPr>
            <w:tcW w:w="13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(20,898)</w:t>
            </w:r>
          </w:p>
        </w:tc>
        <w:tc>
          <w:tcPr>
            <w:tcW w:w="18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FINANCING ACTIVITIES:</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(3,608)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Payments from stock-based award activities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Treasury stock purchase, at cost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cash used in financing activities</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(6,129)</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(4,458)</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Effect of foreign currency rate fluctuations on cash</w:t>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(307)</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change in cash and cash equivalents</w:t>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31,789 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7,755 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and cash equivalents: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Beginning of period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End of period</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69,020 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63,842 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disclosures of cash flow information:</w:t>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20,432 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19,525 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paid for income taxes</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4,894 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Supplemental non-cash investing activity:</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additions included in accounts payable</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price of license agreement included in accrued liabilities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10,710 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purchase consideration for business acquisition included in debt</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purchase consideration for business acquisition included in accrued liabilities</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consideration receivable for sale of ADS included in accounts receivable, net</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7"/>
        </w:rPr>
      </w:pPr>
      <w:r>
        <w:rPr>
          <w:rFonts w:ascii="Arial;sans-serif" w:hAnsi="Arial;sans-serif"/>
          <w:b/>
          <w:color w:val="000000"/>
          <w:sz w:val="17"/>
        </w:rPr>
        <w:t>The accompanying notes are an integral part of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pPr>
      <w:r>
        <w:rPr>
          <w:rFonts w:ascii="Arial;sans-serif" w:hAnsi="Arial;sans-serif"/>
          <w:b/>
          <w:color w:val="000000"/>
          <w:sz w:val="20"/>
        </w:rPr>
        <w:t>1.   </w:t>
      </w:r>
      <w:r>
        <w:rPr>
          <w:color w:val="000000"/>
        </w:rPr>
        <w:t xml:space="preserve"> </w:t>
      </w:r>
      <w:r>
        <w:rPr>
          <w:rFonts w:ascii="Arial;sans-serif" w:hAnsi="Arial;sans-serif"/>
          <w:b/>
          <w:color w:val="000000"/>
          <w:sz w:val="20"/>
        </w:rPr>
        <w:t>DESCRIPTION OF THE BUSINESS, BASIS OF PRESENTATION, AND SUMMARY OF SIGNIFICANT ACCOUNTING POLICIES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Holley Inc., a Delaware corporation headquartered in Nashville, Tennessee,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helmets, racing suits and seats, harnesses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Risks and Uncertainties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Company's business and results of operations, financial condition, and liquidity are impacted by broad economic conditions, as well as by geopolitical events, including the conflict in Ukraine, the conflict in the Middle East and surrounding areas, and the possible expansion of such conflicts and potential geopolitical consequences. The Company's business is impacted by various economic factors that affect both consumers and the automotive aftermarket industry, including but not limited to inflation, fuel costs, wage rates, trade restrictions, including tariffs, supply chain disruptions, hiring, and other economic conditions. The global and regional economic and political conditions, as well as changes in trade policies, may cause volatility in demand for the Company's products, materials and logistics, and transportation delays, and as a result may impact the pricing of the Company's products and product availability.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February 2025, the U.S. introduced trade policy actions that increased import tariffs across a wide range of countries at various rates, with certain exemptions, and these evolving tariff policies in the U.S., along with responsive measures enacted by other countries, have created additional uncertainty and complexity in the global trade environment. In response, the Company has implemented a range of initiatives to mitigate the impact of tariffs, including conducting harmonized tariff code audits to ensure accurate classification and compliance, diversifying supplier locations outside of China, reshoring products to North America, and exploring direct shipping from suppliers to international customers to reduce tariff exposure on goods entering the U.S.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In February 2026, the U.S. Supreme Court ruled that tariffs imposed under the International Emergency Economic Powers Act ("IEEPA") were not authorized by the statute. During the 26-week period ended June 28, 2026, we received approximately $11,057 as a refund on such tariffs, of which $1,719 was recorded as a reduction of inventory, $8,863 was recorded as other income, and $475 was recorded as interest income.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Following the Supreme Court's ruling, the U.S. government then imposed additional, non-IEEPA global Section 122 tariffs. Any trade disputes or further changes in tax or trade policy, including the imposition of additional tariffs or duties on imported products or changes in tariff levels, between the U.S. and countries from which we source goods directly or indirectly through vendors could require us to take certain actions, including raising prices on products we sell and seeking alternative sources of supply from vendors in other countries. The Company continues to monitor international trade developments, including potential changes in tariff rates and the possibility of new exemptions or retaliatory actions, in order to analyze their impact on the business. The Company additionally continues to evaluate and implement additional strategies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further minimize the impact of tariffs on its operations. If current tariff levels are sustained or increased, there remains a risk that our profitability, cash flows, and financial estimates could be negatively affected.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Additionally, in response to inflationary impacts and supply chain disruptions, the Company has attempted to minimize potential adverse impacts on its business with cost savings initiatives, price increases to customers, and increased attention to maintaining appropriate inventory levels in the distribution channel. The Company's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of America ("U.S. GAAP" or “GAAP”) and applicable rules and regulations of the SEC regarding interim financial reporting. Certain information and footnote disclosures normally included in the financial statements prepared in accordance with U.S. GAAP have been condensed or omitted pursuant to such rules and regulations. Accordingly, these interim condensed consolidated financial statements should be read in conjunction with the Company's audited consolidated financial statements and notes thereto for the year ended December 31, 2025, as filed with the SEC on March 16, 2026, in the Company’s annual report on Form 10-K. In management’s opinion, the unaudited interim condensed consolidated financial statements reflect all adjustments, which are of a normal and recurring nature, that are necessary for a fair presentation of financial results for the interim periods presented. Operating results for any quarter are not necessarily indicative of the results for the full fiscal year.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operates on a fiscal year that ends on December 31. The three- and six-month periods ended June 28, 2026 and June 29, 2025 each included 13 weeks and 26 weeks, respectively.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These unaudited condensed consolidated financial statements include the accounts of the Company and its wholly owned subsidiaries. All significant intercompany transactions and accounts have been eliminated in consolidation.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Accounting Standards Recently Adopted</w:t>
      </w:r>
    </w:p>
    <w:p>
      <w:pPr>
        <w:pStyle w:val="TextBody"/>
        <w:bidi w:val="0"/>
        <w:spacing w:lineRule="auto" w:line="288" w:before="0" w:after="240"/>
        <w:jc w:val="both"/>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The Company adopted ASU 2023-09 during the year ended December 31, 2025 and applied the guidance on a retrospective basis. The interim disclosure requirements became effective for the Company beginning January 1, 2026. See Note 12 "</w:t>
      </w:r>
      <w:r>
        <w:rPr>
          <w:rFonts w:ascii="Arial;sans-serif" w:hAnsi="Arial;sans-serif"/>
          <w:b w:val="false"/>
          <w:i/>
          <w:color w:val="000000"/>
          <w:sz w:val="20"/>
        </w:rPr>
        <w:t>Income Taxes</w:t>
      </w:r>
      <w:r>
        <w:rPr>
          <w:rFonts w:ascii="Arial;sans-serif" w:hAnsi="Arial;sans-serif"/>
          <w:b w:val="false"/>
          <w:color w:val="000000"/>
          <w:sz w:val="20"/>
        </w:rPr>
        <w:t>" in the accompanying notes to the consolidated financial statements for further detail.</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Accounting Standards Not Yet Adopted</w:t>
      </w:r>
    </w:p>
    <w:p>
      <w:pPr>
        <w:pStyle w:val="TextBody"/>
        <w:bidi w:val="0"/>
        <w:spacing w:lineRule="auto" w:line="288" w:before="0" w:after="240"/>
        <w:jc w:val="both"/>
        <w:rPr/>
      </w:pPr>
      <w:r>
        <w:rPr>
          <w:rFonts w:ascii="Arial;sans-serif" w:hAnsi="Arial;sans-serif"/>
          <w:b w:val="false"/>
          <w:color w:val="000000"/>
          <w:sz w:val="20"/>
        </w:rPr>
        <w:t xml:space="preserve">In October 2023, the FASB issued ASU 2023-06, </w:t>
      </w:r>
      <w:r>
        <w:rPr>
          <w:rFonts w:ascii="Arial;sans-serif" w:hAnsi="Arial;sans-serif"/>
          <w:b w:val="false"/>
          <w:i/>
          <w:color w:val="000000"/>
          <w:sz w:val="20"/>
        </w:rPr>
        <w:t>Disclosure Improvements: Codification Amendments in Response to SEC's Disclosure Update and Simplification Initiative</w:t>
      </w:r>
      <w:r>
        <w:rPr>
          <w:rFonts w:ascii="Arial;sans-serif" w:hAnsi="Arial;sans-serif"/>
          <w:b w:val="false"/>
          <w:color w:val="000000"/>
          <w:sz w:val="20"/>
        </w:rPr>
        <w:t xml:space="preserve">. This ASU amends the disclosure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presentation requirements related to various subtopics in the FASB Accounting Standards Codification. The effective date for each amendment will be the date on which the SEC's removal of that related disclosure from Regulation S-X or Regulation S-K becomes effective, with early adoption prohibited. The Company will monitor the removal of various requirements from the current regulations in order to determine when to adopt the related amendments, but it does not anticipate that the adoption of the new guidance will have a material impact on the Company’s consolidated financial statements and related disclosures. The Company will continue to evaluate the impact of this guidance on its consolidated financial statements.</w:t>
      </w:r>
    </w:p>
    <w:p>
      <w:pPr>
        <w:pStyle w:val="TextBody"/>
        <w:bidi w:val="0"/>
        <w:spacing w:lineRule="auto" w:line="288" w:before="0" w:after="240"/>
        <w:jc w:val="both"/>
        <w:rPr/>
      </w:pPr>
      <w:r>
        <w:rPr>
          <w:rFonts w:ascii="Arial;sans-serif" w:hAnsi="Arial;sans-serif"/>
          <w:b w:val="false"/>
          <w:color w:val="000000"/>
          <w:sz w:val="20"/>
        </w:rPr>
        <w:t>In April 2024, the FASB issued ASU 2024</w:t>
        <w:noBreakHyphen/>
        <w:t xml:space="preserve">03, </w:t>
      </w:r>
      <w:r>
        <w:rPr>
          <w:rFonts w:ascii="Arial;sans-serif" w:hAnsi="Arial;sans-serif"/>
          <w:b w:val="false"/>
          <w:i/>
          <w:color w:val="000000"/>
          <w:sz w:val="20"/>
        </w:rPr>
        <w:t>Income Statement—Reporting Comprehensive Income</w:t>
      </w:r>
      <w:r>
        <w:rPr>
          <w:color w:val="000000"/>
        </w:rPr>
        <w:t xml:space="preserve"> </w:t>
      </w:r>
      <w:r>
        <w:rPr>
          <w:rFonts w:ascii="Arial;sans-serif" w:hAnsi="Arial;sans-serif"/>
          <w:b w:val="false"/>
          <w:color w:val="000000"/>
          <w:sz w:val="20"/>
        </w:rPr>
        <w:t>(Topic 220): Disaggregation of Income Statement Expenses, which requires expanded disaggregation of certain operating expense captions. ASU 2025</w:t>
        <w:noBreakHyphen/>
        <w:t>01 later clarified the effective dates for this ASU. This guidance is effective for fiscal years beginning after December 15, 2026, and interim periods within fiscal years beginning after December 15, 2027, with early adoption permitted. The Company will continue to evaluate the impact of this guidance on its consolidated financial statements.</w:t>
      </w:r>
    </w:p>
    <w:p>
      <w:pPr>
        <w:pStyle w:val="TextBody"/>
        <w:bidi w:val="0"/>
        <w:spacing w:lineRule="auto" w:line="288" w:before="0" w:after="240"/>
        <w:jc w:val="both"/>
        <w:rPr/>
      </w:pPr>
      <w:r>
        <w:rPr>
          <w:rFonts w:ascii="Arial;sans-serif" w:hAnsi="Arial;sans-serif"/>
          <w:b w:val="false"/>
          <w:color w:val="000000"/>
          <w:sz w:val="20"/>
        </w:rPr>
        <w:t>In February 2025, the FASB issued ASU 2025</w:t>
        <w:noBreakHyphen/>
        <w:t xml:space="preserve">07, </w:t>
      </w:r>
      <w:r>
        <w:rPr>
          <w:rFonts w:ascii="Arial;sans-serif" w:hAnsi="Arial;sans-serif"/>
          <w:b w:val="false"/>
          <w:i/>
          <w:color w:val="000000"/>
          <w:sz w:val="20"/>
        </w:rPr>
        <w:t>Derivatives and Hedging</w:t>
      </w:r>
      <w:r>
        <w:rPr>
          <w:color w:val="000000"/>
        </w:rPr>
        <w:t xml:space="preserve"> </w:t>
      </w:r>
      <w:r>
        <w:rPr>
          <w:rFonts w:ascii="Arial;sans-serif" w:hAnsi="Arial;sans-serif"/>
          <w:b w:val="false"/>
          <w:color w:val="000000"/>
          <w:sz w:val="20"/>
        </w:rPr>
        <w:t>(Topic 815) and Revenue from Contracts with Customers (Topic 606): Derivatives Scope Refinements and Scope Clarification for Share</w:t>
        <w:noBreakHyphen/>
        <w:t>Based Noncash Consideration from a Customer in a Revenue Contract, which refines scope exceptions and clarifies treatment of certain noncash consideration. This guidance is effective for fiscal years beginning after December 15, 2026, and interim periods within those fiscal years. The Company will continue to evaluate the impact of this guidance on its consolidated financial statements.</w:t>
      </w:r>
    </w:p>
    <w:p>
      <w:pPr>
        <w:pStyle w:val="TextBody"/>
        <w:bidi w:val="0"/>
        <w:spacing w:lineRule="auto" w:line="288" w:before="0" w:after="240"/>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 — Goodwill and Other — Internal-Use Software</w:t>
      </w:r>
      <w:r>
        <w:rPr>
          <w:color w:val="000000"/>
        </w:rPr>
        <w:t xml:space="preserve"> </w:t>
      </w:r>
      <w:r>
        <w:rPr>
          <w:rFonts w:ascii="Arial;sans-serif" w:hAnsi="Arial;sans-serif"/>
          <w:b w:val="false"/>
          <w:color w:val="000000"/>
          <w:sz w:val="20"/>
        </w:rPr>
        <w:t>(Topic 350): Targeted Improvements to the Accounting for Internal-Use Software, which modernizes the guidance for capitalizing internal-use software costs to better reflect current software development practices. The amendments eliminate the prior stage-based framework and introduce a principles-based approach under which capitalization begins when management has authorized and committed to funding a software project and it is probable that the project will be completed and used for its intended function. This guidance is effective for annual reporting periods beginning after December 15, 2027, and interim periods within those annual reporting periods, with early adoption permitted. The Company will continue to evaluate the impact of this guidance on its consolidated financial statements.</w:t>
      </w:r>
    </w:p>
    <w:p>
      <w:pPr>
        <w:pStyle w:val="TextBody"/>
        <w:bidi w:val="0"/>
        <w:spacing w:lineRule="auto" w:line="288" w:before="0" w:after="240"/>
        <w:jc w:val="both"/>
        <w:rPr/>
      </w:pPr>
      <w:r>
        <w:rPr>
          <w:rFonts w:ascii="Arial;sans-serif" w:hAnsi="Arial;sans-serif"/>
          <w:b w:val="false"/>
          <w:color w:val="000000"/>
          <w:sz w:val="20"/>
        </w:rPr>
        <w:t xml:space="preserve">In December 2025, the FASB issued ASU 2025-12, </w:t>
      </w:r>
      <w:r>
        <w:rPr>
          <w:rFonts w:ascii="Arial;sans-serif" w:hAnsi="Arial;sans-serif"/>
          <w:b w:val="false"/>
          <w:i/>
          <w:color w:val="000000"/>
          <w:sz w:val="20"/>
        </w:rPr>
        <w:t>Codification Improvements</w:t>
      </w:r>
      <w:r>
        <w:rPr>
          <w:rFonts w:ascii="Arial;sans-serif" w:hAnsi="Arial;sans-serif"/>
          <w:b w:val="false"/>
          <w:color w:val="000000"/>
          <w:sz w:val="20"/>
        </w:rPr>
        <w:t>, which makes targeted improvements to the Codification by clarifying, correcting, and simplifying existing guidance across multiple Topics, including earnings per share, leases, equity, and receivables. The amendments are generally effective for fiscal years beginning after December 15, 2026, including the Company's fiscal year beginning January 1, 2027, with early adoption permitted for certain amendments. Although the amendments are primarily technical in nature, they may affect the Company's application of specific guidance depending on facts and circumstances. The Company will continue to evaluate the impact of this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2.   </w:t>
      </w:r>
      <w:r>
        <w:rPr>
          <w:color w:val="000000"/>
        </w:rPr>
        <w:t xml:space="preserve"> </w:t>
      </w:r>
      <w:r>
        <w:rPr>
          <w:rFonts w:ascii="Arial;sans-serif" w:hAnsi="Arial;sans-serif"/>
          <w:b/>
          <w:color w:val="000000"/>
          <w:sz w:val="20"/>
        </w:rPr>
        <w:t>ACQUISITION AND DIVESTITURES</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HRX ACQUISITION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March 18, 2026, the Company acquired HRX S.r.l. (“HRX”), an Italian motorsports racewear brand serving drivers and teams across karting and competitive racing categories. The acquisition adds complementary racewear capabilities to Holley’s Safety &amp; Racing portfolio and expands the Company’s presence in European motorsports. The transaction was accounted for as a business combination. Accordingly, the purchase price has been allocated based upon the fair value of the assets acquired and liabilities assumed. Goodwill arising from the acquisition is primarily due to HRX's strong market position. The goodwill and intangibles generated as a result of this acquisition are deductible for income tax purposes. The purchase price was funded from cash on hand and a combination of borrowings under the Company's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initial accounting for this business combination is incomplete for certain assets, liabilities and equity. Accordingly, the purchase price allocation is preliminary and subject to change as the Company completes its valuation analyses and working capital adjustments, including deferred cash payments, contingent consideration, and the valuation of acquired inventory, intangible assets, property, plant and equipment, and certain leases. Any adjustments to the preliminary purchase price allocation will be made as soon as practicable but no later than one year from the acquisition date.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the preliminary allocation of the purchase price to the fair values of the identifiable assets acquired and liabilities assumed at the acquisition date.</w:t>
      </w:r>
    </w:p>
    <w:tbl>
      <w:tblPr>
        <w:tblW w:w="4067" w:type="dxa"/>
        <w:jc w:val="left"/>
        <w:tblInd w:w="0" w:type="dxa"/>
        <w:tblLayout w:type="fixed"/>
        <w:tblCellMar>
          <w:top w:w="28" w:type="dxa"/>
          <w:left w:w="28" w:type="dxa"/>
          <w:bottom w:w="28" w:type="dxa"/>
          <w:right w:w="28" w:type="dxa"/>
        </w:tblCellMar>
      </w:tblPr>
      <w:tblGrid>
        <w:gridCol w:w="988"/>
        <w:gridCol w:w="862"/>
        <w:gridCol w:w="879"/>
        <w:gridCol w:w="109"/>
        <w:gridCol w:w="109"/>
        <w:gridCol w:w="109"/>
        <w:gridCol w:w="211"/>
        <w:gridCol w:w="646"/>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11,030 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(5,703)</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DIVESTITURES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April 17, 2026, the Company entered into an agreement with a buyer, pursuant to which the Company divested the Arizona Desert Shocks brand ("ADS"), including the intellectual property, inventory on hand related to the brand and other certain assets. The Company received total consideration of $3,646, consisting of $1,000 received in the 13-week period ended June 28, 2026, and a promissory note of $2,646. The Company recognized a net loss of $3,342, which was reported as a loss on sale of assets in the condensed consolidated statements of comprehensive (loss) income.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May 7, 2026, the Company entered into an agreement with a buyer, pursuant to which the Company divested the Speartech brand, including the intellectual property, inventory on hand related to the brand and other certain assets. The Company received total consideration of $1,250 received in the 13-week period ended June 28, 2026. The Company recognized a net loss of $1,486, which was reported as a loss on sale of assets in the condensed consolidated statements of comprehensive (loss) income.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June 22, 2026, the Company entered into an agreement with a buyer, pursuant to which the Company divested the Drake Classic, Scott Drake, Drake Muscle Cars, Drake Automotive Group, Drake Auto Group, and Brothers Trucks brands (the "Drake Brands"), including the intellectual property, inventory on hand related to the Drake Brands and other certain assets. The Company received total consideration of $7,500 received in the 13-week period ended June 28, 2026. The Company recognized a net loss of $23,486, which was reported as a loss on sale of assets in the condensed consolidated statements of comprehensive (loss)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divestitures are intended to allow the Company to better focus and utilize its resources on its core brands and other opportunities which the Company believes better align with its long-term strategies. The divested brands did not represent a strategic shift that has a major effect on the Company's operations and financial results, and, as such, they were not presented as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3.   </w:t>
      </w:r>
      <w:r>
        <w:rPr>
          <w:color w:val="000000"/>
        </w:rPr>
        <w:t xml:space="preserve"> </w:t>
      </w:r>
      <w:r>
        <w:rPr>
          <w:rFonts w:ascii="Arial;sans-serif" w:hAnsi="Arial;sans-serif"/>
          <w:b/>
          <w:color w:val="000000"/>
          <w:sz w:val="20"/>
        </w:rPr>
        <w:t>INVENTORY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Inventories of the Company consisted of the following:</w:t>
      </w:r>
    </w:p>
    <w:tbl>
      <w:tblPr>
        <w:tblW w:w="5037" w:type="dxa"/>
        <w:jc w:val="left"/>
        <w:tblInd w:w="0" w:type="dxa"/>
        <w:tblLayout w:type="fixed"/>
        <w:tblCellMar>
          <w:top w:w="28" w:type="dxa"/>
          <w:left w:w="28" w:type="dxa"/>
          <w:bottom w:w="28" w:type="dxa"/>
          <w:right w:w="28" w:type="dxa"/>
        </w:tblCellMar>
      </w:tblPr>
      <w:tblGrid>
        <w:gridCol w:w="554"/>
        <w:gridCol w:w="486"/>
        <w:gridCol w:w="491"/>
        <w:gridCol w:w="239"/>
        <w:gridCol w:w="972"/>
        <w:gridCol w:w="123"/>
        <w:gridCol w:w="109"/>
        <w:gridCol w:w="109"/>
        <w:gridCol w:w="109"/>
        <w:gridCol w:w="319"/>
        <w:gridCol w:w="1294"/>
        <w:gridCol w:w="232"/>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As of</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53,872 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56,351 </w:t>
            </w:r>
          </w:p>
        </w:tc>
        <w:tc>
          <w:tcPr>
            <w:tcW w:w="2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18,202 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109,867 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131,108 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180,202 </w:t>
            </w:r>
          </w:p>
        </w:tc>
        <w:tc>
          <w:tcPr>
            <w:tcW w:w="12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205,661 </w:t>
            </w:r>
          </w:p>
        </w:tc>
        <w:tc>
          <w:tcPr>
            <w:tcW w:w="23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4.   </w:t>
      </w:r>
      <w:r>
        <w:rPr>
          <w:color w:val="000000"/>
        </w:rPr>
        <w:t xml:space="preserve"> </w:t>
      </w:r>
      <w:r>
        <w:rPr>
          <w:rFonts w:ascii="Arial;sans-serif" w:hAnsi="Arial;sans-serif"/>
          <w:b/>
          <w:color w:val="000000"/>
          <w:sz w:val="20"/>
        </w:rPr>
        <w:t>PROPERTY, PLANT AND EQUIPMENT, NET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Property, plant and equipment of the Company consisted of the following:</w:t>
      </w:r>
    </w:p>
    <w:tbl>
      <w:tblPr>
        <w:tblW w:w="6701" w:type="dxa"/>
        <w:jc w:val="left"/>
        <w:tblInd w:w="0" w:type="dxa"/>
        <w:tblLayout w:type="fixed"/>
        <w:tblCellMar>
          <w:top w:w="28" w:type="dxa"/>
          <w:left w:w="28" w:type="dxa"/>
          <w:bottom w:w="28" w:type="dxa"/>
          <w:right w:w="28" w:type="dxa"/>
        </w:tblCellMar>
      </w:tblPr>
      <w:tblGrid>
        <w:gridCol w:w="1157"/>
        <w:gridCol w:w="1014"/>
        <w:gridCol w:w="1024"/>
        <w:gridCol w:w="263"/>
        <w:gridCol w:w="936"/>
        <w:gridCol w:w="135"/>
        <w:gridCol w:w="109"/>
        <w:gridCol w:w="109"/>
        <w:gridCol w:w="109"/>
        <w:gridCol w:w="349"/>
        <w:gridCol w:w="1242"/>
        <w:gridCol w:w="254"/>
      </w:tblGrid>
      <w:tr>
        <w:trPr/>
        <w:tc>
          <w:tcPr>
            <w:tcW w:w="11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As of</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2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13,704 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77,269 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74,126 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in process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9,473 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w:t>
            </w:r>
          </w:p>
        </w:tc>
        <w:tc>
          <w:tcPr>
            <w:tcW w:w="11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107,822 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98,383 </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53,256 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50,174 </w:t>
            </w:r>
          </w:p>
        </w:tc>
        <w:tc>
          <w:tcPr>
            <w:tcW w:w="1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45,127 </w:t>
            </w:r>
          </w:p>
        </w:tc>
        <w:tc>
          <w:tcPr>
            <w:tcW w:w="2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long-lived assets by geographic location are as follows:</w:t>
      </w:r>
    </w:p>
    <w:tbl>
      <w:tblPr>
        <w:tblW w:w="7091" w:type="dxa"/>
        <w:jc w:val="left"/>
        <w:tblInd w:w="0" w:type="dxa"/>
        <w:tblLayout w:type="fixed"/>
        <w:tblCellMar>
          <w:top w:w="28" w:type="dxa"/>
          <w:left w:w="28" w:type="dxa"/>
          <w:bottom w:w="28" w:type="dxa"/>
          <w:right w:w="28" w:type="dxa"/>
        </w:tblCellMar>
      </w:tblPr>
      <w:tblGrid>
        <w:gridCol w:w="1298"/>
        <w:gridCol w:w="1141"/>
        <w:gridCol w:w="1146"/>
        <w:gridCol w:w="263"/>
        <w:gridCol w:w="936"/>
        <w:gridCol w:w="135"/>
        <w:gridCol w:w="109"/>
        <w:gridCol w:w="109"/>
        <w:gridCol w:w="109"/>
        <w:gridCol w:w="349"/>
        <w:gridCol w:w="1242"/>
        <w:gridCol w:w="2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As of</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47,148 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42,705 </w:t>
            </w:r>
          </w:p>
        </w:tc>
        <w:tc>
          <w:tcPr>
            <w:tcW w:w="2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2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50,174 </w:t>
            </w:r>
          </w:p>
        </w:tc>
        <w:tc>
          <w:tcPr>
            <w:tcW w:w="1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45,127 </w:t>
            </w:r>
          </w:p>
        </w:tc>
        <w:tc>
          <w:tcPr>
            <w:tcW w:w="2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left"/>
        <w:rPr/>
      </w:pPr>
      <w:r>
        <w:rPr>
          <w:rFonts w:ascii="Arial;sans-serif" w:hAnsi="Arial;sans-serif"/>
          <w:b/>
          <w:color w:val="000000"/>
          <w:sz w:val="20"/>
        </w:rPr>
        <w:t>5.   </w:t>
      </w:r>
      <w:r>
        <w:rPr>
          <w:color w:val="000000"/>
        </w:rPr>
        <w:t xml:space="preserve"> </w:t>
      </w:r>
      <w:r>
        <w:rPr>
          <w:rFonts w:ascii="Arial;sans-serif" w:hAnsi="Arial;sans-serif"/>
          <w:b/>
          <w:color w:val="000000"/>
          <w:sz w:val="20"/>
        </w:rPr>
        <w:t>GOODWILL AND OTHER INTANGIBLE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presents changes to goodwill for the periods indicated:</w:t>
      </w:r>
    </w:p>
    <w:tbl>
      <w:tblPr>
        <w:tblW w:w="4716" w:type="dxa"/>
        <w:jc w:val="left"/>
        <w:tblInd w:w="0" w:type="dxa"/>
        <w:tblLayout w:type="fixed"/>
        <w:tblCellMar>
          <w:top w:w="28" w:type="dxa"/>
          <w:left w:w="28" w:type="dxa"/>
          <w:bottom w:w="28" w:type="dxa"/>
          <w:right w:w="28" w:type="dxa"/>
        </w:tblCellMar>
      </w:tblPr>
      <w:tblGrid>
        <w:gridCol w:w="1267"/>
        <w:gridCol w:w="1110"/>
        <w:gridCol w:w="1118"/>
        <w:gridCol w:w="211"/>
        <w:gridCol w:w="856"/>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net as of June 29,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net as of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acquired</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disposed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 net as of June 28,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370,958 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Arial;sans-serif" w:hAnsi="Arial;sans-serif"/>
          <w:b w:val="false"/>
          <w:color w:val="000000"/>
          <w:sz w:val="20"/>
        </w:rPr>
        <w:t>Goodwill represents the premium paid over the fair value of the net tangible and identifiable intangible assets acquired in the Company's business combinations. The Company acquired $2,685 of goodwill related to the HRX acquisition during the 13-week period ended March 29, 2026. Refer to Note 2, "</w:t>
      </w:r>
      <w:r>
        <w:rPr>
          <w:rFonts w:ascii="Arial;sans-serif" w:hAnsi="Arial;sans-serif"/>
          <w:b w:val="false"/>
          <w:i/>
          <w:color w:val="000000"/>
          <w:sz w:val="20"/>
        </w:rPr>
        <w:t>Acquisition and Divestitures,</w:t>
      </w:r>
      <w:r>
        <w:rPr>
          <w:rFonts w:ascii="Arial;sans-serif" w:hAnsi="Arial;sans-serif"/>
          <w:b w:val="false"/>
          <w:color w:val="000000"/>
          <w:sz w:val="20"/>
        </w:rPr>
        <w:t>" for additional information.</w:t>
      </w:r>
    </w:p>
    <w:p>
      <w:pPr>
        <w:pStyle w:val="TextBody"/>
        <w:bidi w:val="0"/>
        <w:spacing w:lineRule="auto" w:line="288" w:before="0" w:after="240"/>
        <w:jc w:val="both"/>
        <w:rPr/>
      </w:pPr>
      <w:r>
        <w:rPr>
          <w:rFonts w:ascii="Arial;sans-serif" w:hAnsi="Arial;sans-serif"/>
          <w:b w:val="false"/>
          <w:color w:val="000000"/>
          <w:sz w:val="20"/>
        </w:rPr>
        <w:t>The Company disposed of $4,067 of goodwill during the 13-week and 26-week periods ended June 28, 2026 related to the three divestitures that occurred during the period, compared to no disposals of goodwill during the 13-week and 26-week periods ended June 29, 2025. Refer to Note 2 "</w:t>
      </w:r>
      <w:r>
        <w:rPr>
          <w:rFonts w:ascii="Arial;sans-serif" w:hAnsi="Arial;sans-serif"/>
          <w:b w:val="false"/>
          <w:i/>
          <w:color w:val="000000"/>
          <w:sz w:val="20"/>
        </w:rPr>
        <w:t>Acquisition and Divestitures</w:t>
      </w:r>
      <w:r>
        <w:rPr>
          <w:rFonts w:ascii="Arial;sans-serif" w:hAnsi="Arial;sans-serif"/>
          <w:b w:val="false"/>
          <w:color w:val="000000"/>
          <w:sz w:val="20"/>
        </w:rPr>
        <w:t xml:space="preserve">," for additional information. Potential changes in the Company's costs and operating structure, the implementation of synergies, and overall performance in the automotive aftermarket industry, could negatively impact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January 1, 2025, the Company, entered into an agreement with Cataclean Global Limited ("Cataclean") to purchase a perpetual exclusive license in North America for developing, manufacturing, marketing, distributing, using and selling existing Cataclean products as well as future product formulations in all sales channels in North America for a total purchase price of $23,800. The Cataclean perpetual license agreement of $23,800 is included in other intangible assets, net in the condensed consolidated balance sheets. As of June 28, 2026, the Company has fully paid the Cataclean purchase price, and no amounts related to the agreement remain included in accrued liabilities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Intangible assets consisted of the following:</w:t>
      </w:r>
    </w:p>
    <w:tbl>
      <w:tblPr>
        <w:tblW w:w="10205" w:type="dxa"/>
        <w:jc w:val="left"/>
        <w:tblInd w:w="0" w:type="dxa"/>
        <w:tblLayout w:type="fixed"/>
        <w:tblCellMar>
          <w:top w:w="28" w:type="dxa"/>
          <w:left w:w="28" w:type="dxa"/>
          <w:bottom w:w="28" w:type="dxa"/>
          <w:right w:w="28" w:type="dxa"/>
        </w:tblCellMar>
      </w:tblPr>
      <w:tblGrid>
        <w:gridCol w:w="1209"/>
        <w:gridCol w:w="1051"/>
        <w:gridCol w:w="1057"/>
        <w:gridCol w:w="378"/>
        <w:gridCol w:w="1536"/>
        <w:gridCol w:w="194"/>
        <w:gridCol w:w="109"/>
        <w:gridCol w:w="109"/>
        <w:gridCol w:w="109"/>
        <w:gridCol w:w="418"/>
        <w:gridCol w:w="1720"/>
        <w:gridCol w:w="219"/>
        <w:gridCol w:w="109"/>
        <w:gridCol w:w="109"/>
        <w:gridCol w:w="109"/>
        <w:gridCol w:w="304"/>
        <w:gridCol w:w="1237"/>
        <w:gridCol w:w="228"/>
      </w:tblGrid>
      <w:tr>
        <w:trPr/>
        <w:tc>
          <w:tcPr>
            <w:tcW w:w="12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Gross Carrying 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Net Carrying Value</w:t>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21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252,410 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(79,197)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173,213 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Tradenames</w:t>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14,920 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28,651 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(17,929)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10,722 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295,981 </w:t>
            </w:r>
          </w:p>
        </w:tc>
        <w:tc>
          <w:tcPr>
            <w:tcW w:w="19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(104,507)</w:t>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191,474 </w:t>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2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Tradenames</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154,479 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154,479 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License agreement</w:t>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indefinite-lived intangible assets</w:t>
            </w:r>
          </w:p>
        </w:tc>
        <w:tc>
          <w:tcPr>
            <w:tcW w:w="37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178,279 </w:t>
            </w:r>
          </w:p>
        </w:tc>
        <w:tc>
          <w:tcPr>
            <w:tcW w:w="19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178,279 </w:t>
            </w:r>
          </w:p>
        </w:tc>
        <w:tc>
          <w:tcPr>
            <w:tcW w:w="22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09"/>
        <w:gridCol w:w="1051"/>
        <w:gridCol w:w="1057"/>
        <w:gridCol w:w="378"/>
        <w:gridCol w:w="1536"/>
        <w:gridCol w:w="194"/>
        <w:gridCol w:w="109"/>
        <w:gridCol w:w="109"/>
        <w:gridCol w:w="109"/>
        <w:gridCol w:w="418"/>
        <w:gridCol w:w="1720"/>
        <w:gridCol w:w="219"/>
        <w:gridCol w:w="109"/>
        <w:gridCol w:w="109"/>
        <w:gridCol w:w="109"/>
        <w:gridCol w:w="304"/>
        <w:gridCol w:w="1237"/>
        <w:gridCol w:w="228"/>
      </w:tblGrid>
      <w:tr>
        <w:trPr/>
        <w:tc>
          <w:tcPr>
            <w:tcW w:w="12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Gross Carrying 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Accumulated Amortization</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Net Carrying Value</w:t>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Finite-lived intangible assets:</w:t>
            </w:r>
          </w:p>
        </w:tc>
        <w:tc>
          <w:tcPr>
            <w:tcW w:w="210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269,390 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(78,564)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190,826 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Tradenames</w:t>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13,775 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(7,019)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w:t>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(17,291)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finite-lived intangible assets</w:t>
            </w:r>
          </w:p>
        </w:tc>
        <w:tc>
          <w:tcPr>
            <w:tcW w:w="3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310,724 </w:t>
            </w:r>
          </w:p>
        </w:tc>
        <w:tc>
          <w:tcPr>
            <w:tcW w:w="19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(102,874)</w:t>
            </w:r>
          </w:p>
        </w:tc>
        <w:tc>
          <w:tcPr>
            <w:tcW w:w="21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207,850 </w:t>
            </w:r>
          </w:p>
        </w:tc>
        <w:tc>
          <w:tcPr>
            <w:tcW w:w="22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w:t>
            </w:r>
          </w:p>
        </w:tc>
        <w:tc>
          <w:tcPr>
            <w:tcW w:w="2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Tradenames</w:t>
            </w:r>
          </w:p>
        </w:tc>
        <w:tc>
          <w:tcPr>
            <w:tcW w:w="3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165,260 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165,260 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License agreement</w:t>
            </w:r>
          </w:p>
        </w:tc>
        <w:tc>
          <w:tcPr>
            <w:tcW w:w="1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23,800 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indefinite-lived intangible assets</w:t>
            </w:r>
          </w:p>
        </w:tc>
        <w:tc>
          <w:tcPr>
            <w:tcW w:w="378"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53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189,060 </w:t>
            </w:r>
          </w:p>
        </w:tc>
        <w:tc>
          <w:tcPr>
            <w:tcW w:w="19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189,060 </w:t>
            </w:r>
          </w:p>
        </w:tc>
        <w:tc>
          <w:tcPr>
            <w:tcW w:w="22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outlines the estimated amortization expense related to finite-lived intangible assets held as of June 28, 2026:</w:t>
      </w:r>
    </w:p>
    <w:tbl>
      <w:tblPr>
        <w:tblW w:w="6530" w:type="dxa"/>
        <w:jc w:val="left"/>
        <w:tblInd w:w="0" w:type="dxa"/>
        <w:tblLayout w:type="fixed"/>
        <w:tblCellMar>
          <w:top w:w="28" w:type="dxa"/>
          <w:left w:w="28" w:type="dxa"/>
          <w:bottom w:w="28" w:type="dxa"/>
          <w:right w:w="28" w:type="dxa"/>
        </w:tblCellMar>
      </w:tblPr>
      <w:tblGrid>
        <w:gridCol w:w="1921"/>
        <w:gridCol w:w="1689"/>
        <w:gridCol w:w="1699"/>
        <w:gridCol w:w="211"/>
        <w:gridCol w:w="856"/>
        <w:gridCol w:w="154"/>
      </w:tblGrid>
      <w:tr>
        <w:trPr/>
        <w:tc>
          <w:tcPr>
            <w:tcW w:w="192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 (excluding the twenty-six weeks ended June 28,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191,474 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left"/>
        <w:rPr/>
      </w:pPr>
      <w:r>
        <w:rPr>
          <w:rFonts w:ascii="Arial;sans-serif" w:hAnsi="Arial;sans-serif"/>
          <w:b/>
          <w:color w:val="000000"/>
          <w:sz w:val="20"/>
        </w:rPr>
        <w:t>6.   </w:t>
      </w:r>
      <w:r>
        <w:rPr>
          <w:color w:val="000000"/>
        </w:rPr>
        <w:t xml:space="preserve"> </w:t>
      </w:r>
      <w:r>
        <w:rPr>
          <w:rFonts w:ascii="Arial;sans-serif" w:hAnsi="Arial;sans-serif"/>
          <w:b/>
          <w:color w:val="000000"/>
          <w:sz w:val="20"/>
        </w:rPr>
        <w:t>ACCRUED LIABILITIES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Accrued liabilities of the Company consisted of the following:</w:t>
      </w:r>
    </w:p>
    <w:tbl>
      <w:tblPr>
        <w:tblW w:w="7645" w:type="dxa"/>
        <w:jc w:val="left"/>
        <w:tblInd w:w="0" w:type="dxa"/>
        <w:tblLayout w:type="fixed"/>
        <w:tblCellMar>
          <w:top w:w="28" w:type="dxa"/>
          <w:left w:w="28" w:type="dxa"/>
          <w:bottom w:w="28" w:type="dxa"/>
          <w:right w:w="28" w:type="dxa"/>
        </w:tblCellMar>
      </w:tblPr>
      <w:tblGrid>
        <w:gridCol w:w="1496"/>
        <w:gridCol w:w="1320"/>
        <w:gridCol w:w="1323"/>
        <w:gridCol w:w="263"/>
        <w:gridCol w:w="936"/>
        <w:gridCol w:w="135"/>
        <w:gridCol w:w="109"/>
        <w:gridCol w:w="109"/>
        <w:gridCol w:w="109"/>
        <w:gridCol w:w="349"/>
        <w:gridCol w:w="1242"/>
        <w:gridCol w:w="254"/>
      </w:tblGrid>
      <w:tr>
        <w:trPr/>
        <w:tc>
          <w:tcPr>
            <w:tcW w:w="149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As of</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freight</w:t>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3,736 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3,722 </w:t>
            </w:r>
          </w:p>
        </w:tc>
        <w:tc>
          <w:tcPr>
            <w:tcW w:w="2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employee compensation and benefits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15,638 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returns, allowances, and warranties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12,488 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Cataclean license accrual</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other</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accrued liabilities</w:t>
            </w:r>
          </w:p>
        </w:tc>
        <w:tc>
          <w:tcPr>
            <w:tcW w:w="26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40,553 </w:t>
            </w:r>
          </w:p>
        </w:tc>
        <w:tc>
          <w:tcPr>
            <w:tcW w:w="13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48,316 </w:t>
            </w:r>
          </w:p>
        </w:tc>
        <w:tc>
          <w:tcPr>
            <w:tcW w:w="2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7.   </w:t>
      </w:r>
      <w:r>
        <w:rPr>
          <w:color w:val="000000"/>
        </w:rPr>
        <w:t xml:space="preserve"> </w:t>
      </w:r>
      <w:r>
        <w:rPr>
          <w:rFonts w:ascii="Arial;sans-serif" w:hAnsi="Arial;sans-serif"/>
          <w:b/>
          <w:color w:val="000000"/>
          <w:sz w:val="20"/>
        </w:rPr>
        <w:t>DEBT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Debt of the Company consisted of the following:</w:t>
      </w:r>
    </w:p>
    <w:tbl>
      <w:tblPr>
        <w:tblW w:w="7376" w:type="dxa"/>
        <w:jc w:val="left"/>
        <w:tblInd w:w="0" w:type="dxa"/>
        <w:tblLayout w:type="fixed"/>
        <w:tblCellMar>
          <w:top w:w="28" w:type="dxa"/>
          <w:left w:w="28" w:type="dxa"/>
          <w:bottom w:w="28" w:type="dxa"/>
          <w:right w:w="28" w:type="dxa"/>
        </w:tblCellMar>
      </w:tblPr>
      <w:tblGrid>
        <w:gridCol w:w="1400"/>
        <w:gridCol w:w="1231"/>
        <w:gridCol w:w="1239"/>
        <w:gridCol w:w="239"/>
        <w:gridCol w:w="972"/>
        <w:gridCol w:w="123"/>
        <w:gridCol w:w="109"/>
        <w:gridCol w:w="109"/>
        <w:gridCol w:w="109"/>
        <w:gridCol w:w="319"/>
        <w:gridCol w:w="1294"/>
        <w:gridCol w:w="232"/>
      </w:tblGrid>
      <w:tr>
        <w:trPr/>
        <w:tc>
          <w:tcPr>
            <w:tcW w:w="1400"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As of</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First lien term loan due November 17, 2028</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527,719 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529,362 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Revolving credit facility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Financing lease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unamortized debt issuance costs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(6,908)</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526,813 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522,649 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current portion of long-term debt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(8,207)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518,606 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516,078 </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November 18, 2021, the Company entered into a credit facility with a syndicate of lenders and Wells Fargo Bank, N.A., ("Wells Fargo") as administrative agent for the lenders, letter of credit issuer and swing line lender (the "Credit Agreement"). The financing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 Proceeds from the credit facility were used to repay in full the Company’s obligations under its previously existing first lien and second lien notes and to pay $13,413 in deferred financing fees related to the refinancing.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revolving credit facility includes a letter of credit facility in the amount of $10,000, pursuant to which letters of credit may be issued as long as revolving loans may be advanced and subject to availability under the revolving credit facility. The Company had $2,509 in outstanding letters of credit on June 28, 2026.</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2025, no excess cash flow payment is expected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required in 2026. Any such payments offset future mandatory quarterly payments. The Credit Agreement permits voluntary prepayments at any time, in whole or in part.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of June 28, 2026, amounts outstanding under the credit facility accrue interest at a rate equal to either the Secured Overnight Financing Rate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June 28, 2026, the weighted average interest rate on the Company's borrowings under the credit facility was 7.5%. As of June 28, 2026, the Company had no borrowings outstanding on its revolving credit facility.</w:t>
      </w:r>
    </w:p>
    <w:p>
      <w:pPr>
        <w:pStyle w:val="TextBody"/>
        <w:bidi w:val="0"/>
        <w:spacing w:lineRule="auto" w:line="288" w:before="0" w:after="240"/>
        <w:jc w:val="both"/>
        <w:rPr/>
      </w:pPr>
      <w:r>
        <w:rPr>
          <w:rFonts w:ascii="Arial;sans-serif" w:hAnsi="Arial;sans-serif"/>
          <w:b w:val="false"/>
          <w:color w:val="000000"/>
          <w:sz w:val="20"/>
        </w:rPr>
        <w:t>The Company has entered into interest rate collars in the notional amounts of $500,000 and $400,000 to hedge the Company's exposure to fluctuations in interest rates on its variable-rate debt. During 26-week period ended June 28, 2026, the $500,000 notional collar expired. As of June 28, 2026, the Company had one interest rate collar remaining with a notional amount of $400,000. Refer to Note 9, "</w:t>
      </w:r>
      <w:r>
        <w:rPr>
          <w:rFonts w:ascii="Arial;sans-serif" w:hAnsi="Arial;sans-serif"/>
          <w:b w:val="false"/>
          <w:i/>
          <w:color w:val="000000"/>
          <w:sz w:val="20"/>
        </w:rPr>
        <w:t>Derivative Instruments</w:t>
      </w:r>
      <w:r>
        <w:rPr>
          <w:rFonts w:ascii="Arial;sans-serif" w:hAnsi="Arial;sans-serif"/>
          <w:b w:val="false"/>
          <w:color w:val="000000"/>
          <w:sz w:val="20"/>
        </w:rPr>
        <w:t xml:space="preserve">," for additional information.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Obligations under the Credit Agreement are secured by substantially all of the Company’s assets, including a secured interest in the Company's headquarters, with a carrying value of $3,014. The Credit Agreement includes representations and warranties and affirmative and negative covenants customary for financings of this type, including, but not limited to, limitations on restricted payments, additional borrowings, additional investments, and asset sales. The Credit Agreement also requires that Holley maintain, on the last day of each quarter, a Total Leverage Ratio not to exceed a maximum amount.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February 2023, the Company entered into an amendment to the Credit Agreement which, among other things, increases the Total Leverage Ratio applicable under the Credit Agreement as of the quarter ending June 30, 2024 to initially 7.25:1.00, and provides for modified step-down levels for such covenant thereafter through the fiscal quarter ending June 30, 2024 (the “Covenant Relief Period”). As a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April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$2,106 of deferred financing fees related to these amendments. As of June 28, 2026, the required Total Leverage Ratio was 5.00:1.00.</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December 4, 2024, the Company entered into an amendment to its Credit Agreement that extends the revolver maturity date to November 18, 2029, which date may occur earlier if the maturity date of the existing term loan is not extended, and reduces the revolving credit facility from $125,000 to $100,000. The amendment permits our Total Leverage Ratio for the benefit of the revolving credit lenders to be tested only for fiscal quarters in which there are outstanding revolving credit loans on the last day of such fiscal quarter. On June 28, 2026, the Company was in compliance with all financial covenants.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March 18, 2026, the Company assumed approximately $2,200 of existing third-party debt obligations related to the HRX acquisition. Additionally, pursuant to the terms of the sale and purchase agreement, the Company is obligated to make deferred purchase price payments totaling approximately $2,100. Both the assumed debt and deferred payment obligations are classified as long-term on the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pPr>
      <w:r>
        <w:rPr>
          <w:rFonts w:ascii="Arial;sans-serif" w:hAnsi="Arial;sans-serif"/>
          <w:b w:val="false"/>
          <w:color w:val="000000"/>
          <w:sz w:val="20"/>
        </w:rPr>
        <w:t>balance sheet as of June 28, 2026. Refer to Note 2, "</w:t>
      </w:r>
      <w:r>
        <w:rPr>
          <w:rFonts w:ascii="Arial;sans-serif" w:hAnsi="Arial;sans-serif"/>
          <w:b w:val="false"/>
          <w:i/>
          <w:color w:val="000000"/>
          <w:sz w:val="20"/>
        </w:rPr>
        <w:t>Acquisition and Divestitures,</w:t>
      </w:r>
      <w:r>
        <w:rPr>
          <w:rFonts w:ascii="Arial;sans-serif" w:hAnsi="Arial;sans-serif"/>
          <w:b w:val="false"/>
          <w:color w:val="000000"/>
          <w:sz w:val="20"/>
        </w:rPr>
        <w:t>" for additional information.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Future maturities of long-term debt and amortization of debt issuance costs of the first lien term loan as of June 28, 2026 are as follows:</w:t>
      </w:r>
    </w:p>
    <w:tbl>
      <w:tblPr>
        <w:tblW w:w="8573" w:type="dxa"/>
        <w:jc w:val="left"/>
        <w:tblInd w:w="0" w:type="dxa"/>
        <w:tblLayout w:type="fixed"/>
        <w:tblCellMar>
          <w:top w:w="28" w:type="dxa"/>
          <w:left w:w="28" w:type="dxa"/>
          <w:bottom w:w="28" w:type="dxa"/>
          <w:right w:w="28" w:type="dxa"/>
        </w:tblCellMar>
      </w:tblPr>
      <w:tblGrid>
        <w:gridCol w:w="1921"/>
        <w:gridCol w:w="1689"/>
        <w:gridCol w:w="1699"/>
        <w:gridCol w:w="211"/>
        <w:gridCol w:w="856"/>
        <w:gridCol w:w="109"/>
        <w:gridCol w:w="109"/>
        <w:gridCol w:w="413"/>
        <w:gridCol w:w="1265"/>
        <w:gridCol w:w="301"/>
      </w:tblGrid>
      <w:tr>
        <w:trPr/>
        <w:tc>
          <w:tcPr>
            <w:tcW w:w="192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Debt</w:t>
            </w:r>
          </w:p>
        </w:tc>
        <w:tc>
          <w:tcPr>
            <w:tcW w:w="109" w:type="dxa"/>
            <w:tcBorders/>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Debt Issuance Costs</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 (excluding the twenty-six weeks ended June 28,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527,719 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6,017 </w:t>
            </w:r>
          </w:p>
        </w:tc>
        <w:tc>
          <w:tcPr>
            <w:tcW w:w="3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8.   </w:t>
      </w:r>
      <w:r>
        <w:rPr>
          <w:color w:val="000000"/>
        </w:rPr>
        <w:t xml:space="preserve"> </w:t>
      </w:r>
      <w:r>
        <w:rPr>
          <w:rFonts w:ascii="Arial;sans-serif" w:hAnsi="Arial;sans-serif"/>
          <w:b/>
          <w:color w:val="000000"/>
          <w:sz w:val="20"/>
        </w:rPr>
        <w:t xml:space="preserve">COMMON STOCK WARRANTS AND EARN-OUT LIABILITY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consummated a business combination (the “Business Combination”) pursuant to that certain Agreement and Plan of Merger dated March 11, 2021 (the “Merger Agreement”), by and among Empower Ltd., (“Empower”), Empower Merger Sub I Inc., Empower Merger Sub II LLC, and Holley Intermediate Holdings, Inc. (“Holley Intermediate”) on July 16, 2021, (the “Closing” and such date, the “Closing Date”). Upon the Closing, there were 14,666,644 Warrants, consisting of 9,999,977 public warrants ("Public Warrants") and 4,666,667 private warrants ("Private Warrants" and together with the Public Warrants, the “Warrants”), outstanding to purchase shares of Common Stock that were issued by Empower prior to the Business Combination. Each Warrant entitled the registered holder to purchase one share of Common Stock at a price of $11.50 per share, subject to adjustments, provided that the Company had an effective registration statement under the Securities Act covering the shares of Common Stock issuable upon exercise of the Warrants and a current prospectus relating to them was available and such shares were registered, qualified or exempt from registration under the securities laws of the state of residence of the holder. The Warrants were exercisable only for a whole number of shares of Common Stock. The Warrants expired on July 16, 2026, in accordance with their terms. None of the Warrants were exercised.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Company’s Warrants are accounted for as a liability in accordance with ASC 815-40 and are presented as a warrant liability on the condensed consolidated balance sheets. The warrant liability was measured at fair value at inception and on a recurring basis, with changes in fair value recognized as non-operating expense. As of June 28, 2026 and December 31, 2025, a warrant liability with a fair value of $444 and $2,024, respectively, was reflected in the condensed consolidated balance sheets. A decrease of $548 and $7 in the fair value of the warrant liability was reflected as change in fair value of warrant liability in the condensed consolidated statements of comprehensive income for the 13-week period ended June 28, 2026 and June 29, 2025, respectively. A decrease of $1,579 and $80 in the fair value of the warrant liability was reflected as change in fair value of warrant liability in the condensed consolidated statements of comprehensive income for the 26-week period ended June 28, 2026 and June 29, 2025, respectively.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condensed consolidated balance sheet and are remeasured at fair value with changes in fair value recognized as non-operating expense. As of June 28, 2026 and December 31, 2025, an earn-out liability with a fair value of $273 and $2,045, respectively, was reflected as a long-term liability in the condensed consolidated balance sheets. A decrease of $1,258 and $219 in the fair value of the earn-out liability was reflected as change in fair value of earn-out liability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condensed consolidated statements of comprehensive income for the 13-week periods ended June 28, 2026 and June 29, 2025, respectively. A decrease of $1,772 and $404 in the fair value of the earn-out liability was reflected as change in fair value of earn-out liability in the condensed consolidated statements of comprehensive income for the 26-week period ended June 28, 2026 and June 29,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9.   </w:t>
      </w:r>
      <w:r>
        <w:rPr>
          <w:color w:val="000000"/>
        </w:rPr>
        <w:t xml:space="preserve"> </w:t>
      </w:r>
      <w:r>
        <w:rPr>
          <w:rFonts w:ascii="Arial;sans-serif" w:hAnsi="Arial;sans-serif"/>
          <w:b/>
          <w:color w:val="000000"/>
          <w:sz w:val="20"/>
        </w:rPr>
        <w:t>DERIVATIVE INSTRUMENTS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Bank, N.A. ("Wells Fargo") with a notional amount of $500,000 that expired on February 18, 2026. The Collar had a floor of 2.81% and a cap of 5.00% (based on three-month SOFR). On January 30, 2025, the Company entered into another Collar with Wells Fargo with a notional amount of $400,000 that expires on November 18, 2028. The Collar has a floor of 3.35% and a cap of 4.99% (based on three-month SOFR). The structure of these Collars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of June 28, 2026, the Company recognized a derivative liability of $600 for the Collar in other noncurrent liabilities on the condensed consolidated balance sheets. The Company recorded a net change in the fair value of the Collar as a decrease of $1,871 and an increase of $1,431 to interest expense for the 13-week periods ended June 28, 2026 and June 29, 2025, respectively. The Company recorded a net change in the fair value of the Collar as a decrease of $2,899 and an increase of $5,243 to interest expense for 26-week period ended June 28, 2026 and June 29, 2025, respectively.</w:t>
      </w:r>
    </w:p>
    <w:p>
      <w:pPr>
        <w:pStyle w:val="TextBody"/>
        <w:bidi w:val="0"/>
        <w:spacing w:lineRule="auto" w:line="288" w:before="0" w:after="240"/>
        <w:jc w:val="both"/>
        <w:rPr/>
      </w:pPr>
      <w:r>
        <w:rPr>
          <w:rFonts w:ascii="Arial;sans-serif" w:hAnsi="Arial;sans-serif"/>
          <w:b w:val="false"/>
          <w:color w:val="000000"/>
          <w:sz w:val="20"/>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10, </w:t>
      </w:r>
      <w:r>
        <w:rPr>
          <w:rFonts w:ascii="Arial;sans-serif" w:hAnsi="Arial;sans-serif"/>
          <w:b w:val="false"/>
          <w:i/>
          <w:color w:val="000000"/>
          <w:sz w:val="20"/>
        </w:rPr>
        <w:t>"Fair Value Measurements</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10.  FAIR VALUE MEASUREMENTS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financial liabilities subject to fair value measurement on a recurring basis and the level of inputs used for such measurements were as follows:</w:t>
      </w:r>
    </w:p>
    <w:tbl>
      <w:tblPr>
        <w:tblW w:w="6750" w:type="dxa"/>
        <w:jc w:val="left"/>
        <w:tblInd w:w="0" w:type="dxa"/>
        <w:tblLayout w:type="fixed"/>
        <w:tblCellMar>
          <w:top w:w="28" w:type="dxa"/>
          <w:left w:w="28" w:type="dxa"/>
          <w:bottom w:w="28" w:type="dxa"/>
          <w:right w:w="28" w:type="dxa"/>
        </w:tblCellMar>
      </w:tblPr>
      <w:tblGrid>
        <w:gridCol w:w="851"/>
        <w:gridCol w:w="750"/>
        <w:gridCol w:w="754"/>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64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Fair Value Measured on June 28, 2026</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8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 liability (Public)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 liability (Private)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Earn-out liability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collar liability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fair value liabilities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tbl>
      <w:tblPr>
        <w:tblW w:w="7245" w:type="dxa"/>
        <w:jc w:val="left"/>
        <w:tblInd w:w="0" w:type="dxa"/>
        <w:tblLayout w:type="fixed"/>
        <w:tblCellMar>
          <w:top w:w="28" w:type="dxa"/>
          <w:left w:w="28" w:type="dxa"/>
          <w:bottom w:w="28" w:type="dxa"/>
          <w:right w:w="28" w:type="dxa"/>
        </w:tblCellMar>
      </w:tblPr>
      <w:tblGrid>
        <w:gridCol w:w="851"/>
        <w:gridCol w:w="750"/>
        <w:gridCol w:w="75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Fair Value Measured on December 31, 2025</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1</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2</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Level 3</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9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 liability (Public)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 liability (Private)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Earn-out liability</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rate collar liability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fair value liabilities</w:t>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2,700 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7,567 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Arial;sans-serif" w:hAnsi="Arial;sans-serif"/>
          <w:b w:val="false"/>
          <w:color w:val="000000"/>
          <w:sz w:val="20"/>
        </w:rPr>
        <w:t>As of June 28, 2026, the Company's derivative liabilities for its Private and Public Warrants, earn-out liability, and derivative liability for its Collar are measured at fair value on a recurring basis (see Note 8, “</w:t>
      </w:r>
      <w:r>
        <w:rPr>
          <w:rFonts w:ascii="Arial;sans-serif" w:hAnsi="Arial;sans-serif"/>
          <w:b w:val="false"/>
          <w:i/>
          <w:color w:val="000000"/>
          <w:sz w:val="20"/>
        </w:rPr>
        <w:t>Common Stock Warrants and Earn-Out Liability</w:t>
      </w:r>
      <w:r>
        <w:rPr>
          <w:rFonts w:ascii="Arial;sans-serif" w:hAnsi="Arial;sans-serif"/>
          <w:b w:val="false"/>
          <w:color w:val="000000"/>
          <w:sz w:val="20"/>
        </w:rPr>
        <w:t>,” and Note 9, "</w:t>
      </w:r>
      <w:r>
        <w:rPr>
          <w:rFonts w:ascii="Arial;sans-serif" w:hAnsi="Arial;sans-serif"/>
          <w:b w:val="false"/>
          <w:i/>
          <w:color w:val="000000"/>
          <w:sz w:val="20"/>
        </w:rPr>
        <w:t>Derivative Instruments</w:t>
      </w:r>
      <w:r>
        <w:rPr>
          <w:rFonts w:ascii="Arial;sans-serif" w:hAnsi="Arial;sans-serif"/>
          <w:b w:val="false"/>
          <w:color w:val="000000"/>
          <w:sz w:val="20"/>
        </w:rPr>
        <w:t>," for more details). The fair values of the Private Warrants and earn-out liability are determined based on significant inputs not observable in the market (Level 3).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liabilities on the condensed consolidated balance sheets,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condensed consolidated statements of comprehensive income. Changes in the fair value of the Collar are recognized as an adjustment to interest expense in the condensed consolidated statements of comprehensive income. Changes in the fair value of the derivative liabilities related to Warrants, the earn-out liability, and the Collar are recognized in net cash provided by operating activities on the condensed consolidated statements of cash flows.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fair value of Private Warrants was estimated as of the measurement date using the Monte Carlo simulation model with the following assumptions:</w:t>
      </w:r>
    </w:p>
    <w:tbl>
      <w:tblPr>
        <w:tblW w:w="5725" w:type="dxa"/>
        <w:jc w:val="left"/>
        <w:tblInd w:w="0" w:type="dxa"/>
        <w:tblLayout w:type="fixed"/>
        <w:tblCellMar>
          <w:top w:w="28" w:type="dxa"/>
          <w:left w:w="28" w:type="dxa"/>
          <w:bottom w:w="28" w:type="dxa"/>
          <w:right w:w="28" w:type="dxa"/>
        </w:tblCellMar>
      </w:tblPr>
      <w:tblGrid>
        <w:gridCol w:w="804"/>
        <w:gridCol w:w="705"/>
        <w:gridCol w:w="710"/>
        <w:gridCol w:w="246"/>
        <w:gridCol w:w="755"/>
        <w:gridCol w:w="334"/>
        <w:gridCol w:w="109"/>
        <w:gridCol w:w="109"/>
        <w:gridCol w:w="109"/>
        <w:gridCol w:w="327"/>
        <w:gridCol w:w="1003"/>
        <w:gridCol w:w="514"/>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Valuation date price</w:t>
            </w:r>
          </w:p>
        </w:tc>
        <w:tc>
          <w:tcPr>
            <w:tcW w:w="2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33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5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Strike price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11.50 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Remaining life (in years)</w:t>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0.54</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dividend</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Price threshold</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18.00 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fair value of the earn-out liability was estimated as of the measurement date using the Monte Carlo simulation model with the following assumptions:</w:t>
      </w:r>
    </w:p>
    <w:tbl>
      <w:tblPr>
        <w:tblW w:w="5771" w:type="dxa"/>
        <w:jc w:val="left"/>
        <w:tblInd w:w="0" w:type="dxa"/>
        <w:tblLayout w:type="fixed"/>
        <w:tblCellMar>
          <w:top w:w="28" w:type="dxa"/>
          <w:left w:w="28" w:type="dxa"/>
          <w:bottom w:w="28" w:type="dxa"/>
          <w:right w:w="28" w:type="dxa"/>
        </w:tblCellMar>
      </w:tblPr>
      <w:tblGrid>
        <w:gridCol w:w="820"/>
        <w:gridCol w:w="720"/>
        <w:gridCol w:w="725"/>
        <w:gridCol w:w="246"/>
        <w:gridCol w:w="755"/>
        <w:gridCol w:w="334"/>
        <w:gridCol w:w="109"/>
        <w:gridCol w:w="109"/>
        <w:gridCol w:w="109"/>
        <w:gridCol w:w="327"/>
        <w:gridCol w:w="1003"/>
        <w:gridCol w:w="51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Valuation date price</w:t>
            </w:r>
          </w:p>
        </w:tc>
        <w:tc>
          <w:tcPr>
            <w:tcW w:w="2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33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5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64.87</w:t>
            </w:r>
          </w:p>
        </w:tc>
        <w:tc>
          <w:tcPr>
            <w:tcW w:w="3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78.79</w:t>
            </w:r>
          </w:p>
        </w:tc>
        <w:tc>
          <w:tcPr>
            <w:tcW w:w="5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w:t>
            </w:r>
          </w:p>
        </w:tc>
        <w:tc>
          <w:tcPr>
            <w:tcW w:w="5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Price hurdle</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As of June 28, 2026 and December 31, 2025, the Company has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reconciliation of changes in Level 3 liabilities during the 26-week periods ended June 28, 2026 and June 29, 2025 is as follows:</w:t>
      </w:r>
    </w:p>
    <w:tbl>
      <w:tblPr>
        <w:tblW w:w="7709" w:type="dxa"/>
        <w:jc w:val="left"/>
        <w:tblInd w:w="0" w:type="dxa"/>
        <w:tblLayout w:type="fixed"/>
        <w:tblCellMar>
          <w:top w:w="28" w:type="dxa"/>
          <w:left w:w="28" w:type="dxa"/>
          <w:bottom w:w="28" w:type="dxa"/>
          <w:right w:w="28" w:type="dxa"/>
        </w:tblCellMar>
      </w:tblPr>
      <w:tblGrid>
        <w:gridCol w:w="1044"/>
        <w:gridCol w:w="915"/>
        <w:gridCol w:w="921"/>
        <w:gridCol w:w="410"/>
        <w:gridCol w:w="937"/>
        <w:gridCol w:w="213"/>
        <w:gridCol w:w="109"/>
        <w:gridCol w:w="109"/>
        <w:gridCol w:w="109"/>
        <w:gridCol w:w="350"/>
        <w:gridCol w:w="1073"/>
        <w:gridCol w:w="181"/>
        <w:gridCol w:w="109"/>
        <w:gridCol w:w="109"/>
        <w:gridCol w:w="109"/>
        <w:gridCol w:w="211"/>
        <w:gridCol w:w="646"/>
        <w:gridCol w:w="154"/>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Private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Earn-Out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Total</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4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Gains included in earnings</w:t>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June 29, 2025</w:t>
            </w:r>
          </w:p>
        </w:tc>
        <w:tc>
          <w:tcPr>
            <w:tcW w:w="4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744 </w:t>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4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Gains included in earnings</w:t>
            </w:r>
          </w:p>
        </w:tc>
        <w:tc>
          <w:tcPr>
            <w:tcW w:w="13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(1,772)</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June 28, 2026</w:t>
            </w:r>
          </w:p>
        </w:tc>
        <w:tc>
          <w:tcPr>
            <w:tcW w:w="41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1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11. </w:t>
      </w:r>
      <w:r>
        <w:rPr>
          <w:color w:val="000000"/>
        </w:rPr>
        <w:t> </w:t>
      </w:r>
      <w:r>
        <w:rPr>
          <w:rFonts w:ascii="Arial;sans-serif" w:hAnsi="Arial;sans-serif"/>
          <w:b/>
          <w:color w:val="000000"/>
          <w:sz w:val="20"/>
        </w:rPr>
        <w:t xml:space="preserve">REVENUE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principal activity from which the Company generates its revenue is the manufacturing and distribution of after-market automotive parts for its customers, comprised of resellers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Company’s payment terms with customers are customary and vary by customer and geography but typically range from 30 to 365 days. The Company elected the practical expedient to disregard the possible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pPr>
      <w:r>
        <w:rPr>
          <w:rFonts w:ascii="Arial;sans-serif" w:hAnsi="Arial;sans-serif"/>
          <w:b w:val="false"/>
          <w:color w:val="000000"/>
          <w:sz w:val="20"/>
        </w:rPr>
        <w:t>existence of a significant financing component related to payment on contracts, as the Company expects that customers will pay for the products within one year. The Company has evaluated the terms of our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17,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for more information.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total revenue by division category during the 13-week periods and 26-week periods ended June 28, 2026 and June 29, 2025.</w:t>
      </w:r>
    </w:p>
    <w:tbl>
      <w:tblPr>
        <w:tblW w:w="8497" w:type="dxa"/>
        <w:jc w:val="center"/>
        <w:tblInd w:w="0" w:type="dxa"/>
        <w:tblLayout w:type="fixed"/>
        <w:tblCellMar>
          <w:top w:w="28" w:type="dxa"/>
          <w:left w:w="28" w:type="dxa"/>
          <w:bottom w:w="28" w:type="dxa"/>
          <w:right w:w="28" w:type="dxa"/>
        </w:tblCellMar>
      </w:tblPr>
      <w:tblGrid>
        <w:gridCol w:w="766"/>
        <w:gridCol w:w="673"/>
        <w:gridCol w:w="675"/>
        <w:gridCol w:w="239"/>
        <w:gridCol w:w="972"/>
        <w:gridCol w:w="123"/>
        <w:gridCol w:w="109"/>
        <w:gridCol w:w="109"/>
        <w:gridCol w:w="109"/>
        <w:gridCol w:w="239"/>
        <w:gridCol w:w="972"/>
        <w:gridCol w:w="123"/>
        <w:gridCol w:w="109"/>
        <w:gridCol w:w="109"/>
        <w:gridCol w:w="109"/>
        <w:gridCol w:w="239"/>
        <w:gridCol w:w="972"/>
        <w:gridCol w:w="123"/>
        <w:gridCol w:w="116"/>
        <w:gridCol w:w="116"/>
        <w:gridCol w:w="116"/>
        <w:gridCol w:w="238"/>
        <w:gridCol w:w="968"/>
        <w:gridCol w:w="173"/>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American Performance</w:t>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99,929 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101,412 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186,934 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193,254 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Euro &amp; Import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Truck &amp; Off-Road</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39,871 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72,145 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Safety &amp; Racing</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23,770 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37,042 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3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172,007 </w:t>
            </w:r>
          </w:p>
        </w:tc>
        <w:tc>
          <w:tcPr>
            <w:tcW w:w="1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166,661 </w:t>
            </w:r>
          </w:p>
        </w:tc>
        <w:tc>
          <w:tcPr>
            <w:tcW w:w="1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319,337 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319,705 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total revenue based on geographic location from which the product is shipped:</w:t>
      </w:r>
    </w:p>
    <w:tbl>
      <w:tblPr>
        <w:tblW w:w="7687" w:type="dxa"/>
        <w:jc w:val="center"/>
        <w:tblInd w:w="0" w:type="dxa"/>
        <w:tblLayout w:type="fixed"/>
        <w:tblCellMar>
          <w:top w:w="28" w:type="dxa"/>
          <w:left w:w="28" w:type="dxa"/>
          <w:bottom w:w="28" w:type="dxa"/>
          <w:right w:w="28" w:type="dxa"/>
        </w:tblCellMar>
      </w:tblPr>
      <w:tblGrid>
        <w:gridCol w:w="472"/>
        <w:gridCol w:w="415"/>
        <w:gridCol w:w="417"/>
        <w:gridCol w:w="239"/>
        <w:gridCol w:w="972"/>
        <w:gridCol w:w="123"/>
        <w:gridCol w:w="109"/>
        <w:gridCol w:w="109"/>
        <w:gridCol w:w="109"/>
        <w:gridCol w:w="239"/>
        <w:gridCol w:w="972"/>
        <w:gridCol w:w="123"/>
        <w:gridCol w:w="109"/>
        <w:gridCol w:w="109"/>
        <w:gridCol w:w="109"/>
        <w:gridCol w:w="239"/>
        <w:gridCol w:w="972"/>
        <w:gridCol w:w="123"/>
        <w:gridCol w:w="116"/>
        <w:gridCol w:w="116"/>
        <w:gridCol w:w="116"/>
        <w:gridCol w:w="238"/>
        <w:gridCol w:w="968"/>
        <w:gridCol w:w="173"/>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162,661 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162,414 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304,309 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309,905 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Italy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3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172,007 </w:t>
            </w:r>
          </w:p>
        </w:tc>
        <w:tc>
          <w:tcPr>
            <w:tcW w:w="1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166,661 </w:t>
            </w:r>
          </w:p>
        </w:tc>
        <w:tc>
          <w:tcPr>
            <w:tcW w:w="1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319,337 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319,705 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12. </w:t>
      </w:r>
      <w:r>
        <w:rPr>
          <w:color w:val="000000"/>
        </w:rPr>
        <w:t> </w:t>
      </w:r>
      <w:r>
        <w:rPr>
          <w:rFonts w:ascii="Arial;sans-serif" w:hAnsi="Arial;sans-serif"/>
          <w:b/>
          <w:color w:val="000000"/>
          <w:sz w:val="20"/>
        </w:rPr>
        <w:t>INCOME TAXES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Company's effective income tax rate is based on expected income, statutory rates and tax planning opportunities available in the various jurisdictions in which it operates. For interim financial reporting, the Company estimates the annual income tax rate based on projected taxable income for the full year and records a quarterly income tax provision or benefit in accordance with the anticipated annual rate. The Company refines the estimates of the year's taxable income as new information becomes available, including actual year-to-date financial results. This continual estimation process often results in a change to the expected effective income tax rate for the year. When this occurs, the Company adjusts the income tax provision during the quarter in which the change in estimate occurs so that the year-to-date provision reflects the expected income tax rate. Significant judgment is required in determining the effective tax rate and in evaluating tax positions.</w:t>
      </w:r>
    </w:p>
    <w:tbl>
      <w:tblPr>
        <w:tblW w:w="9080" w:type="dxa"/>
        <w:jc w:val="center"/>
        <w:tblInd w:w="0" w:type="dxa"/>
        <w:tblLayout w:type="fixed"/>
        <w:tblCellMar>
          <w:top w:w="28" w:type="dxa"/>
          <w:left w:w="28" w:type="dxa"/>
          <w:bottom w:w="28" w:type="dxa"/>
          <w:right w:w="28" w:type="dxa"/>
        </w:tblCellMar>
      </w:tblPr>
      <w:tblGrid>
        <w:gridCol w:w="961"/>
        <w:gridCol w:w="845"/>
        <w:gridCol w:w="848"/>
        <w:gridCol w:w="234"/>
        <w:gridCol w:w="784"/>
        <w:gridCol w:w="317"/>
        <w:gridCol w:w="109"/>
        <w:gridCol w:w="109"/>
        <w:gridCol w:w="109"/>
        <w:gridCol w:w="246"/>
        <w:gridCol w:w="755"/>
        <w:gridCol w:w="334"/>
        <w:gridCol w:w="109"/>
        <w:gridCol w:w="109"/>
        <w:gridCol w:w="109"/>
        <w:gridCol w:w="288"/>
        <w:gridCol w:w="657"/>
        <w:gridCol w:w="390"/>
        <w:gridCol w:w="127"/>
        <w:gridCol w:w="127"/>
        <w:gridCol w:w="127"/>
        <w:gridCol w:w="246"/>
        <w:gridCol w:w="754"/>
        <w:gridCol w:w="386"/>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8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w:t>
            </w:r>
          </w:p>
        </w:tc>
        <w:tc>
          <w:tcPr>
            <w:tcW w:w="31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33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5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39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4,579 </w:t>
            </w:r>
          </w:p>
        </w:tc>
        <w:tc>
          <w:tcPr>
            <w:tcW w:w="3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3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w:t>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13-week period ended June 28, 2026, the Company's effective tax rate of 33.1% differed from the 21.0% federal statutory tax rate primarily due to permanent differences related to changes in fair value of warrant and earn-out liabilities recognized during the period, the benefit from the foreign derived intangible income ("FDII") deduction, federal research and development tax credits, state taxes, and the impact of foreign taxes in higher tax rate jurisdictions. For the 13-week period ended June 29, 2025, the Company’s effective tax rate of 24.4% differed from the 21.0% federal statutory rate primarily due to federal research and development tax credits, the impact of foreign taxes in higher tax rate jurisdictions, and excess tax deficiencies from share based compensation recognized during the period.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26-week period ended June 28, 2026, the Company's effective tax rate of 12.3% differed from the 21.0% federal statutory tax rate primarily due to permanent differences related to changes in fair value of warrant and earn-out liabilities recognized during the period, the benefit from the FDII deduction, federal research and development tax credits, state taxes, and the impact of foreign taxes in higher tax rate jurisdictions. For the 26-week period ended June 29, 2025, the Company’s effective tax rate of 25.1% differed from the 21.0% federal statutory rate primarily due to federal research and development tax credits, the impact of foreign taxes in higher tax rate jurisdictions and excess tax deficiencies from share based compensation recognized during the period.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Where relevant, the Company has reflected any material items that were enacted in the consolidated financial statements for the 13-week and 26-week periods ended June 28, 2026. Key provisions that impact the Company include the restoration of 100% bonus depreciation, restoration of immediate expensing for domestic research and development costs, and reversion to an EBITDA-based limitation for business interest expense deductions under Section 163(j) of the Internal Revenue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13. </w:t>
      </w:r>
      <w:r>
        <w:rPr>
          <w:color w:val="000000"/>
        </w:rPr>
        <w:t> </w:t>
      </w:r>
      <w:r>
        <w:rPr>
          <w:rFonts w:ascii="Arial;sans-serif" w:hAnsi="Arial;sans-serif"/>
          <w:b/>
          <w:color w:val="000000"/>
          <w:sz w:val="20"/>
        </w:rPr>
        <w:t>EARNINGS PER SHARE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sets forth the calculation of basic and diluted earnings per share:</w:t>
      </w:r>
    </w:p>
    <w:tbl>
      <w:tblPr>
        <w:tblW w:w="10205" w:type="dxa"/>
        <w:jc w:val="center"/>
        <w:tblInd w:w="0" w:type="dxa"/>
        <w:tblLayout w:type="fixed"/>
        <w:tblCellMar>
          <w:top w:w="28" w:type="dxa"/>
          <w:left w:w="28" w:type="dxa"/>
          <w:bottom w:w="28" w:type="dxa"/>
          <w:right w:w="28" w:type="dxa"/>
        </w:tblCellMar>
      </w:tblPr>
      <w:tblGrid>
        <w:gridCol w:w="1462"/>
        <w:gridCol w:w="1247"/>
        <w:gridCol w:w="1242"/>
        <w:gridCol w:w="274"/>
        <w:gridCol w:w="882"/>
        <w:gridCol w:w="132"/>
        <w:gridCol w:w="115"/>
        <w:gridCol w:w="115"/>
        <w:gridCol w:w="115"/>
        <w:gridCol w:w="262"/>
        <w:gridCol w:w="899"/>
        <w:gridCol w:w="128"/>
        <w:gridCol w:w="109"/>
        <w:gridCol w:w="109"/>
        <w:gridCol w:w="109"/>
        <w:gridCol w:w="291"/>
        <w:gridCol w:w="860"/>
        <w:gridCol w:w="138"/>
        <w:gridCol w:w="124"/>
        <w:gridCol w:w="124"/>
        <w:gridCol w:w="124"/>
        <w:gridCol w:w="260"/>
        <w:gridCol w:w="894"/>
        <w:gridCol w:w="190"/>
      </w:tblGrid>
      <w:tr>
        <w:trPr/>
        <w:tc>
          <w:tcPr>
            <w:tcW w:w="146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7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Numerator:</w:t>
            </w:r>
          </w:p>
        </w:tc>
        <w:tc>
          <w:tcPr>
            <w:tcW w:w="1288"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Denominator:</w:t>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120,284,587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119,162,895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120,049,592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119,005,954</w:t>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potential common shares from RSUs</w:t>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910,509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462,500</w:t>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potential common shares from PSUs</w:t>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280,789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188,658</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208,230</w:t>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diluted</w:t>
            </w:r>
          </w:p>
        </w:tc>
        <w:tc>
          <w:tcPr>
            <w:tcW w:w="1288"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120,284,587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119,790,625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121,148,759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119,676,684</w:t>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Earnings per share:</w:t>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following outstanding shares of Common Stock equivalents were excluded from the calculation of diluted earnings per share because their effect would have been anti-dilutive. Warrants to purchase shares of Common Stock having an exercise price greater than the average share market price are excluded from the calculation of diluted earnings per share. </w:t>
      </w:r>
    </w:p>
    <w:tbl>
      <w:tblPr>
        <w:tblW w:w="10205" w:type="dxa"/>
        <w:jc w:val="center"/>
        <w:tblInd w:w="0" w:type="dxa"/>
        <w:tblLayout w:type="fixed"/>
        <w:tblCellMar>
          <w:top w:w="28" w:type="dxa"/>
          <w:left w:w="28" w:type="dxa"/>
          <w:bottom w:w="28" w:type="dxa"/>
          <w:right w:w="28" w:type="dxa"/>
        </w:tblCellMar>
      </w:tblPr>
      <w:tblGrid>
        <w:gridCol w:w="1111"/>
        <w:gridCol w:w="930"/>
        <w:gridCol w:w="935"/>
        <w:gridCol w:w="785"/>
        <w:gridCol w:w="384"/>
        <w:gridCol w:w="248"/>
        <w:gridCol w:w="184"/>
        <w:gridCol w:w="184"/>
        <w:gridCol w:w="184"/>
        <w:gridCol w:w="785"/>
        <w:gridCol w:w="384"/>
        <w:gridCol w:w="248"/>
        <w:gridCol w:w="109"/>
        <w:gridCol w:w="109"/>
        <w:gridCol w:w="109"/>
        <w:gridCol w:w="828"/>
        <w:gridCol w:w="358"/>
        <w:gridCol w:w="248"/>
        <w:gridCol w:w="192"/>
        <w:gridCol w:w="192"/>
        <w:gridCol w:w="192"/>
        <w:gridCol w:w="827"/>
        <w:gridCol w:w="342"/>
        <w:gridCol w:w="337"/>
      </w:tblGrid>
      <w:tr>
        <w:trPr/>
        <w:tc>
          <w:tcPr>
            <w:tcW w:w="111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55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5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Anti-dilutive shares excluded from calculation of diluted EPS:</w:t>
            </w:r>
          </w:p>
        </w:tc>
        <w:tc>
          <w:tcPr>
            <w:tcW w:w="141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14,633,311 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14,633,311 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14,633,311 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14,633,311 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355,715 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437,268 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355,715 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437,268 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1,129,254 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2,058,769 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218,745 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2,058,769 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2,293,111 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2,264,503 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2,104,453 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2,264,503 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Unvested earn-out shares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1,093,750 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1,093,750 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1,093,750 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1,093,750 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anti-dilutive shares</w:t>
            </w:r>
          </w:p>
        </w:tc>
        <w:tc>
          <w:tcPr>
            <w:tcW w:w="1169"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19,505,141 </w:t>
            </w:r>
          </w:p>
        </w:tc>
        <w:tc>
          <w:tcPr>
            <w:tcW w:w="24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20,487,601 </w:t>
            </w:r>
          </w:p>
        </w:tc>
        <w:tc>
          <w:tcPr>
            <w:tcW w:w="24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18,405,974 </w:t>
            </w:r>
          </w:p>
        </w:tc>
        <w:tc>
          <w:tcPr>
            <w:tcW w:w="24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20,487,601 </w:t>
            </w:r>
          </w:p>
        </w:tc>
        <w:tc>
          <w:tcPr>
            <w:tcW w:w="3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shd w:fill="FFFFFF" w:val="clear"/>
        </w:rPr>
        <w:t>14.</w:t>
      </w:r>
      <w:r>
        <w:rPr>
          <w:color w:val="000000"/>
        </w:rPr>
        <w:t>  </w:t>
      </w:r>
      <w:r>
        <w:rPr>
          <w:rFonts w:ascii="Arial;sans-serif" w:hAnsi="Arial;sans-serif"/>
          <w:b/>
          <w:color w:val="000000"/>
          <w:sz w:val="20"/>
          <w:shd w:fill="FFFFFF" w:val="clear"/>
        </w:rPr>
        <w:t>EQUITY-BASED COMPENSATION PLANS</w:t>
      </w:r>
    </w:p>
    <w:p>
      <w:pPr>
        <w:pStyle w:val="TextBody"/>
        <w:bidi w:val="0"/>
        <w:spacing w:lineRule="auto" w:line="288" w:before="0" w:after="240"/>
        <w:jc w:val="both"/>
        <w:rPr/>
      </w:pPr>
      <w:r>
        <w:rPr>
          <w:rFonts w:ascii="Arial;sans-serif" w:hAnsi="Arial;sans-serif"/>
          <w:b w:val="false"/>
          <w:color w:val="000000"/>
          <w:sz w:val="20"/>
        </w:rPr>
        <w:t xml:space="preserve">In 2021, the Company adopted the 2021 Omnibus Incentive Plan (the “2021 Plan”), under which awards, including stock options, restricted stock units ("RSUs") and performance stock units ("PSUs") may be granted to employees and non-employee directors. The 2021 Plan authorized 8,850,000 shares of Common </w:t>
      </w:r>
      <w:r>
        <w:rPr>
          <w:rFonts w:ascii="Arial;sans-serif" w:hAnsi="Arial;sans-serif"/>
          <w:b w:val="false"/>
          <w:color w:val="000000"/>
          <w:sz w:val="20"/>
          <w:shd w:fill="FFFFFF" w:val="clear"/>
        </w:rPr>
        <w:t>Stock to be available for award grants. On May 1, 2026, the stockholders of the Company approved an amendment to the 2021 Plan to increase the number of authorized shares of Common Stock reserved for delivery under the Plan by 5,000,000 shares of Common Stock, thereby increasing the shares of Common Stock reserved under the amended plan to 13,850,000. On May 6, 2026, the Company filed a registration statement on Form S-8 to register an additional 5,000,000 shares of Common Stock issuable under the 2021 Plan. As of</w:t>
      </w:r>
      <w:r>
        <w:rPr>
          <w:color w:val="000000"/>
        </w:rPr>
        <w:t xml:space="preserve"> </w:t>
      </w:r>
      <w:r>
        <w:rPr>
          <w:rFonts w:ascii="Arial;sans-serif" w:hAnsi="Arial;sans-serif"/>
          <w:b w:val="false"/>
          <w:color w:val="000000"/>
          <w:sz w:val="20"/>
        </w:rPr>
        <w:t>June 28, 2026</w:t>
      </w:r>
      <w:r>
        <w:rPr>
          <w:rFonts w:ascii="Arial;sans-serif" w:hAnsi="Arial;sans-serif"/>
          <w:b w:val="false"/>
          <w:color w:val="000000"/>
          <w:sz w:val="20"/>
          <w:shd w:fill="FFFFFF" w:val="clear"/>
        </w:rPr>
        <w:t xml:space="preserve">, </w:t>
      </w:r>
      <w:r>
        <w:rPr>
          <w:rFonts w:ascii="Arial;sans-serif" w:hAnsi="Arial;sans-serif"/>
          <w:b w:val="false"/>
          <w:color w:val="000000"/>
          <w:sz w:val="20"/>
        </w:rPr>
        <w:t xml:space="preserve">5,932,562 </w:t>
      </w:r>
      <w:r>
        <w:rPr>
          <w:rFonts w:ascii="Arial;sans-serif" w:hAnsi="Arial;sans-serif"/>
          <w:b w:val="false"/>
          <w:color w:val="000000"/>
          <w:sz w:val="20"/>
          <w:shd w:fill="FFFFFF" w:val="clear"/>
        </w:rPr>
        <w:t xml:space="preserve">shares of Common Stock remained available for future issuance under the 2021 Plan.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Equity-based compensation expense included the following components:</w:t>
      </w:r>
    </w:p>
    <w:tbl>
      <w:tblPr>
        <w:tblW w:w="8747" w:type="dxa"/>
        <w:jc w:val="center"/>
        <w:tblInd w:w="0" w:type="dxa"/>
        <w:tblLayout w:type="fixed"/>
        <w:tblCellMar>
          <w:top w:w="28" w:type="dxa"/>
          <w:left w:w="28" w:type="dxa"/>
          <w:bottom w:w="28" w:type="dxa"/>
          <w:right w:w="28" w:type="dxa"/>
        </w:tblCellMar>
      </w:tblPr>
      <w:tblGrid>
        <w:gridCol w:w="814"/>
        <w:gridCol w:w="715"/>
        <w:gridCol w:w="720"/>
        <w:gridCol w:w="291"/>
        <w:gridCol w:w="893"/>
        <w:gridCol w:w="150"/>
        <w:gridCol w:w="126"/>
        <w:gridCol w:w="126"/>
        <w:gridCol w:w="126"/>
        <w:gridCol w:w="291"/>
        <w:gridCol w:w="893"/>
        <w:gridCol w:w="150"/>
        <w:gridCol w:w="109"/>
        <w:gridCol w:w="109"/>
        <w:gridCol w:w="109"/>
        <w:gridCol w:w="291"/>
        <w:gridCol w:w="894"/>
        <w:gridCol w:w="150"/>
        <w:gridCol w:w="137"/>
        <w:gridCol w:w="137"/>
        <w:gridCol w:w="137"/>
        <w:gridCol w:w="287"/>
        <w:gridCol w:w="883"/>
        <w:gridCol w:w="209"/>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7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4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2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1,222 </w:t>
            </w:r>
          </w:p>
        </w:tc>
        <w:tc>
          <w:tcPr>
            <w:tcW w:w="15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1,017 </w:t>
            </w:r>
          </w:p>
        </w:tc>
        <w:tc>
          <w:tcPr>
            <w:tcW w:w="15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2,512 </w:t>
            </w:r>
          </w:p>
        </w:tc>
        <w:tc>
          <w:tcPr>
            <w:tcW w:w="15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1,976 </w:t>
            </w:r>
          </w:p>
        </w:tc>
        <w:tc>
          <w:tcPr>
            <w:tcW w:w="2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stock units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All equity-based compensation expenses are recorded in selling, general and administrative costs in the condensed consolidated statements of comprehensive income.</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Restricted Stock Awards</w:t>
      </w:r>
    </w:p>
    <w:p>
      <w:pPr>
        <w:pStyle w:val="TextBody"/>
        <w:bidi w:val="0"/>
        <w:spacing w:lineRule="auto" w:line="288" w:before="0" w:after="240"/>
        <w:jc w:val="both"/>
        <w:rPr/>
      </w:pPr>
      <w:r>
        <w:rPr>
          <w:rFonts w:ascii="Arial;sans-serif" w:hAnsi="Arial;sans-serif"/>
          <w:b w:val="false"/>
          <w:color w:val="000000"/>
          <w:sz w:val="20"/>
          <w:shd w:fill="FFFFFF" w:val="clear"/>
        </w:rPr>
        <w:t xml:space="preserve">RSUs and PSUs are collectively referred to as "Restricted Stock Awards". The Compensation Committee has awarded RSUs to select employees and non-employee directors and has awarded PSUs to select employees. The RSUs vest ratably over </w:t>
      </w:r>
      <w:r>
        <w:rPr>
          <w:rFonts w:ascii="Arial;sans-serif" w:hAnsi="Arial;sans-serif"/>
          <w:b w:val="false"/>
          <w:color w:val="000000"/>
          <w:sz w:val="20"/>
        </w:rPr>
        <w:t>one</w:t>
      </w:r>
      <w:r>
        <w:rPr>
          <w:color w:val="000000"/>
          <w:shd w:fill="FFFFFF" w:val="clear"/>
        </w:rPr>
        <w:t xml:space="preserve"> </w:t>
      </w:r>
      <w:r>
        <w:rPr>
          <w:rFonts w:ascii="Arial;sans-serif" w:hAnsi="Arial;sans-serif"/>
          <w:b w:val="false"/>
          <w:color w:val="000000"/>
          <w:sz w:val="20"/>
          <w:shd w:fill="FFFFFF" w:val="clear"/>
        </w:rPr>
        <w:t xml:space="preserve">to </w:t>
      </w:r>
      <w:r>
        <w:rPr>
          <w:rFonts w:ascii="Arial;sans-serif" w:hAnsi="Arial;sans-serif"/>
          <w:b w:val="false"/>
          <w:color w:val="000000"/>
          <w:sz w:val="20"/>
        </w:rPr>
        <w:t>four years</w:t>
      </w:r>
      <w:r>
        <w:rPr>
          <w:color w:val="000000"/>
          <w:shd w:fill="FFFFFF" w:val="clear"/>
        </w:rPr>
        <w:t xml:space="preserve"> </w:t>
      </w:r>
      <w:r>
        <w:rPr>
          <w:rFonts w:ascii="Arial;sans-serif" w:hAnsi="Arial;sans-serif"/>
          <w:b w:val="false"/>
          <w:color w:val="000000"/>
          <w:sz w:val="20"/>
          <w:shd w:fill="FFFFFF" w:val="clear"/>
        </w:rPr>
        <w:t xml:space="preserve">of continued employment or board services, as applicable.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w:t>
      </w:r>
      <w:r>
        <w:rPr>
          <w:rFonts w:ascii="Arial;sans-serif" w:hAnsi="Arial;sans-serif"/>
          <w:b w:val="false"/>
          <w:color w:val="000000"/>
          <w:sz w:val="20"/>
        </w:rPr>
        <w:t xml:space="preserve">June 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pPr>
      <w:r>
        <w:rPr>
          <w:rFonts w:ascii="Arial;sans-serif" w:hAnsi="Arial;sans-serif"/>
          <w:b w:val="false"/>
          <w:color w:val="000000"/>
          <w:sz w:val="20"/>
        </w:rPr>
        <w:t>2026</w:t>
      </w:r>
      <w:r>
        <w:rPr>
          <w:rFonts w:ascii="Arial;sans-serif" w:hAnsi="Arial;sans-serif"/>
          <w:b w:val="false"/>
          <w:color w:val="000000"/>
          <w:sz w:val="20"/>
          <w:shd w:fill="FFFFFF" w:val="clear"/>
        </w:rPr>
        <w:t xml:space="preserve">, there was </w:t>
      </w:r>
      <w:r>
        <w:rPr>
          <w:rFonts w:ascii="Arial;sans-serif" w:hAnsi="Arial;sans-serif"/>
          <w:b w:val="false"/>
          <w:color w:val="000000"/>
          <w:sz w:val="20"/>
        </w:rPr>
        <w:t>$9,612</w:t>
      </w:r>
      <w:r>
        <w:rPr>
          <w:color w:val="000000"/>
          <w:shd w:fill="FFFFFF" w:val="clear"/>
        </w:rPr>
        <w:t xml:space="preserve"> </w:t>
      </w:r>
      <w:r>
        <w:rPr>
          <w:rFonts w:ascii="Arial;sans-serif" w:hAnsi="Arial;sans-serif"/>
          <w:b w:val="false"/>
          <w:color w:val="000000"/>
          <w:sz w:val="20"/>
          <w:shd w:fill="FFFFFF" w:val="clear"/>
        </w:rPr>
        <w:t xml:space="preserve">of unrecognized compensation cost related to unvested Restricted Stock Awards that is expected to be recognized over a remaining weighted average period of </w:t>
      </w:r>
      <w:r>
        <w:rPr>
          <w:rFonts w:ascii="Arial;sans-serif" w:hAnsi="Arial;sans-serif"/>
          <w:b w:val="false"/>
          <w:color w:val="000000"/>
          <w:sz w:val="20"/>
        </w:rPr>
        <w:t>1.8 years.</w:t>
      </w:r>
    </w:p>
    <w:p>
      <w:pPr>
        <w:pStyle w:val="TextBody"/>
        <w:bidi w:val="0"/>
        <w:spacing w:lineRule="auto" w:line="288" w:before="0" w:after="240"/>
        <w:jc w:val="both"/>
        <w:rPr/>
      </w:pPr>
      <w:r>
        <w:rPr>
          <w:rFonts w:ascii="Arial;sans-serif" w:hAnsi="Arial;sans-serif"/>
          <w:b w:val="false"/>
          <w:color w:val="000000"/>
          <w:sz w:val="20"/>
          <w:shd w:fill="FFFFFF" w:val="clear"/>
        </w:rPr>
        <w:t xml:space="preserve">The weighted-average grant-date fair value of Restricted Stock Awards granted during the </w:t>
      </w:r>
      <w:r>
        <w:rPr>
          <w:rFonts w:ascii="Arial;sans-serif" w:hAnsi="Arial;sans-serif"/>
          <w:b w:val="false"/>
          <w:color w:val="000000"/>
          <w:sz w:val="20"/>
        </w:rPr>
        <w:t>26-week periods ended June 28, 2026 and June 29, 2025</w:t>
      </w:r>
      <w:r>
        <w:rPr>
          <w:rFonts w:ascii="Arial;sans-serif" w:hAnsi="Arial;sans-serif"/>
          <w:b w:val="false"/>
          <w:color w:val="000000"/>
          <w:sz w:val="20"/>
          <w:shd w:fill="FFFFFF" w:val="clear"/>
        </w:rPr>
        <w:t xml:space="preserve">, was </w:t>
      </w:r>
      <w:r>
        <w:rPr>
          <w:rFonts w:ascii="Arial;sans-serif" w:hAnsi="Arial;sans-serif"/>
          <w:b w:val="false"/>
          <w:color w:val="000000"/>
          <w:sz w:val="20"/>
        </w:rPr>
        <w:t>$3.06</w:t>
      </w:r>
      <w:r>
        <w:rPr>
          <w:color w:val="000000"/>
          <w:shd w:fill="FFFFFF" w:val="clear"/>
        </w:rPr>
        <w:t xml:space="preserve"> </w:t>
      </w:r>
      <w:r>
        <w:rPr>
          <w:rFonts w:ascii="Arial;sans-serif" w:hAnsi="Arial;sans-serif"/>
          <w:b w:val="false"/>
          <w:color w:val="000000"/>
          <w:sz w:val="20"/>
          <w:shd w:fill="FFFFFF" w:val="clear"/>
        </w:rPr>
        <w:t>a</w:t>
      </w:r>
      <w:r>
        <w:rPr>
          <w:rFonts w:ascii="Arial;sans-serif" w:hAnsi="Arial;sans-serif"/>
          <w:b w:val="false"/>
          <w:color w:val="000000"/>
          <w:sz w:val="20"/>
        </w:rPr>
        <w:t>nd $2.57, respectively. The fair value of Restricted Stock Awards vested and converted to shares of Common Stock during the 26-week periods ended June 28, 2026 and June 29, 2025, was $4,470 and $1,084, re</w:t>
      </w:r>
      <w:r>
        <w:rPr>
          <w:rFonts w:ascii="Arial;sans-serif" w:hAnsi="Arial;sans-serif"/>
          <w:b w:val="false"/>
          <w:color w:val="000000"/>
          <w:sz w:val="20"/>
          <w:shd w:fill="FFFFFF" w:val="clear"/>
        </w:rPr>
        <w:t>spectively.</w:t>
      </w:r>
    </w:p>
    <w:p>
      <w:pPr>
        <w:pStyle w:val="TextBody"/>
        <w:bidi w:val="0"/>
        <w:spacing w:lineRule="auto" w:line="288" w:before="0" w:after="2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Restricted Stock Awards for the 26-week period ended June 28, 2026:</w:t>
      </w:r>
    </w:p>
    <w:tbl>
      <w:tblPr>
        <w:tblW w:w="7132" w:type="dxa"/>
        <w:jc w:val="left"/>
        <w:tblInd w:w="0" w:type="dxa"/>
        <w:tblLayout w:type="fixed"/>
        <w:tblCellMar>
          <w:top w:w="28" w:type="dxa"/>
          <w:left w:w="28" w:type="dxa"/>
          <w:bottom w:w="28" w:type="dxa"/>
          <w:right w:w="28" w:type="dxa"/>
        </w:tblCellMar>
      </w:tblPr>
      <w:tblGrid>
        <w:gridCol w:w="1031"/>
        <w:gridCol w:w="906"/>
        <w:gridCol w:w="912"/>
        <w:gridCol w:w="524"/>
        <w:gridCol w:w="524"/>
        <w:gridCol w:w="526"/>
        <w:gridCol w:w="223"/>
        <w:gridCol w:w="223"/>
        <w:gridCol w:w="223"/>
        <w:gridCol w:w="475"/>
        <w:gridCol w:w="1219"/>
        <w:gridCol w:w="346"/>
      </w:tblGrid>
      <w:tr>
        <w:trPr/>
        <w:tc>
          <w:tcPr>
            <w:tcW w:w="10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Unvested Restricted Stock Awards</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Number of RSAs</w:t>
            </w:r>
          </w:p>
        </w:tc>
        <w:tc>
          <w:tcPr>
            <w:tcW w:w="66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Weighted Average</w:t>
              <w:br/>
              <w:t>Grant Date Fair Value</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on December 31, 2025</w:t>
            </w:r>
          </w:p>
        </w:tc>
        <w:tc>
          <w:tcPr>
            <w:tcW w:w="157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6,385,354</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34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2,068,935</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(1,580,709)</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(683,086)</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on June 28, 2026</w:t>
            </w:r>
          </w:p>
        </w:tc>
        <w:tc>
          <w:tcPr>
            <w:tcW w:w="1574"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6,190,494</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Performance-based Restricted Stock Units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PSUs granted under the 2021 Plan represent shares of Common Stock that are potentially issuable in the future based on a combination of performance and service requirements. On March 13, 2026 and May 1, 2026, the Company granted 379,211 and 273,532 PSUs, respectively, under the 2021 Plan to employees with a grant date fair values of $3.01 and $3.10, respectively. The PSUs granted to employees were based on salary and include annual net sales and adjusted EBITDA growth targets with threshold and stretch goals. The awards vest ratably over three years, subject to the employee’s continuous employment through the vesting date and the level of performance achieved. The number of PSUs granted reflects the target number able to be earned under a given award. Non-vested PSU compensation expense is based on the most recent performance assumption available and is adjusted as assumptions change. The fair value of a PSU at the grant date is equal to the market price of Common Stock on the grant date. The cost estimates for PSU grants represent initial target awards until the Company can reasonably forecast the financial performance of each PSU award grant. The actual number of shares of Common Stock to be issued at the end of each performance period will range from 0% to 150% of the initial target awards.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As of June 28, 2026, all stock options were vested and there was no additional compensation cost to recognize.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stock option activity for the 26-week period ended June 28, 2026:</w:t>
      </w:r>
    </w:p>
    <w:tbl>
      <w:tblPr>
        <w:tblW w:w="9006" w:type="dxa"/>
        <w:jc w:val="left"/>
        <w:tblInd w:w="0" w:type="dxa"/>
        <w:tblLayout w:type="fixed"/>
        <w:tblCellMar>
          <w:top w:w="28" w:type="dxa"/>
          <w:left w:w="28" w:type="dxa"/>
          <w:bottom w:w="28" w:type="dxa"/>
          <w:right w:w="28" w:type="dxa"/>
        </w:tblCellMar>
      </w:tblPr>
      <w:tblGrid>
        <w:gridCol w:w="1408"/>
        <w:gridCol w:w="1235"/>
        <w:gridCol w:w="1242"/>
        <w:gridCol w:w="449"/>
        <w:gridCol w:w="449"/>
        <w:gridCol w:w="451"/>
        <w:gridCol w:w="109"/>
        <w:gridCol w:w="109"/>
        <w:gridCol w:w="109"/>
        <w:gridCol w:w="301"/>
        <w:gridCol w:w="923"/>
        <w:gridCol w:w="155"/>
        <w:gridCol w:w="109"/>
        <w:gridCol w:w="109"/>
        <w:gridCol w:w="109"/>
        <w:gridCol w:w="509"/>
        <w:gridCol w:w="509"/>
        <w:gridCol w:w="721"/>
      </w:tblGrid>
      <w:tr>
        <w:trPr/>
        <w:tc>
          <w:tcPr>
            <w:tcW w:w="1408"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Number of</w:t>
              <w:b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Weighted</w:t>
              <w:br/>
              <w:t>Average</w:t>
              <w:b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Weighted Average</w:t>
              <w:br/>
              <w:t>Remaining</w:t>
              <w:br/>
              <w:t>Contractual</w:t>
              <w:br/>
              <w:t>Term (years)</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outstanding on December 31, 2025</w:t>
            </w:r>
          </w:p>
        </w:tc>
        <w:tc>
          <w:tcPr>
            <w:tcW w:w="13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outstanding on June 28, 2026</w:t>
            </w:r>
          </w:p>
        </w:tc>
        <w:tc>
          <w:tcPr>
            <w:tcW w:w="134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exercisable on June 28, 2026</w:t>
            </w:r>
          </w:p>
        </w:tc>
        <w:tc>
          <w:tcPr>
            <w:tcW w:w="134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15. </w:t>
      </w:r>
      <w:r>
        <w:rPr>
          <w:color w:val="000000"/>
        </w:rPr>
        <w:t xml:space="preserve"> </w:t>
      </w:r>
      <w:r>
        <w:rPr>
          <w:rFonts w:ascii="Arial;sans-serif" w:hAnsi="Arial;sans-serif"/>
          <w:b/>
          <w:color w:val="000000"/>
          <w:sz w:val="20"/>
        </w:rPr>
        <w:t>SHARE REPURCHASE PROGRAM</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May 26, 2026, the Company announced that its Board of Directors authorized a share repurchase program providing for the purchase by the Company in the aggregate of up to $25.0 million of the Company's outstanding Common Stock. Repurchases of shares are made in accordance with applicable securities laws and may be made from time to time in the open market or by privately negotiated transactions. The amount and timing of repurchases are based on a variety of factors, including stock prices, regulatory limitations and other market and economic factors. The share repurchase plan does not require the Company to repurchase any specific number of shares, and the Company may modify, suspend or terminate the repurchase plan at any time without notice. As of June 28, 2026, the Company has approximately $23.0 million remaining under the share repurchase plan.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following table summarizes selected share repurchase program information for the periods indicated: </w:t>
      </w:r>
    </w:p>
    <w:tbl>
      <w:tblPr>
        <w:tblW w:w="8704" w:type="dxa"/>
        <w:jc w:val="left"/>
        <w:tblInd w:w="0" w:type="dxa"/>
        <w:tblLayout w:type="fixed"/>
        <w:tblCellMar>
          <w:top w:w="28" w:type="dxa"/>
          <w:left w:w="28" w:type="dxa"/>
          <w:bottom w:w="28" w:type="dxa"/>
          <w:right w:w="28" w:type="dxa"/>
        </w:tblCellMar>
      </w:tblPr>
      <w:tblGrid>
        <w:gridCol w:w="756"/>
        <w:gridCol w:w="663"/>
        <w:gridCol w:w="666"/>
        <w:gridCol w:w="291"/>
        <w:gridCol w:w="894"/>
        <w:gridCol w:w="150"/>
        <w:gridCol w:w="141"/>
        <w:gridCol w:w="141"/>
        <w:gridCol w:w="141"/>
        <w:gridCol w:w="388"/>
        <w:gridCol w:w="748"/>
        <w:gridCol w:w="199"/>
        <w:gridCol w:w="109"/>
        <w:gridCol w:w="109"/>
        <w:gridCol w:w="109"/>
        <w:gridCol w:w="297"/>
        <w:gridCol w:w="911"/>
        <w:gridCol w:w="153"/>
        <w:gridCol w:w="153"/>
        <w:gridCol w:w="153"/>
        <w:gridCol w:w="153"/>
        <w:gridCol w:w="377"/>
        <w:gridCol w:w="727"/>
        <w:gridCol w:w="275"/>
      </w:tblGrid>
      <w:tr>
        <w:trPr/>
        <w:tc>
          <w:tcPr>
            <w:tcW w:w="7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9"/>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June 28, 2026</w:t>
            </w:r>
          </w:p>
        </w:tc>
        <w:tc>
          <w:tcPr>
            <w:tcW w:w="4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45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repurchased</w:t>
            </w:r>
          </w:p>
        </w:tc>
        <w:tc>
          <w:tcPr>
            <w:tcW w:w="13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707,113</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707,113</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cost</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16. </w:t>
      </w:r>
      <w:r>
        <w:rPr>
          <w:color w:val="000000"/>
        </w:rPr>
        <w:t> </w:t>
      </w:r>
      <w:r>
        <w:rPr>
          <w:rFonts w:ascii="Arial;sans-serif" w:hAnsi="Arial;sans-serif"/>
          <w:b/>
          <w:color w:val="000000"/>
          <w:sz w:val="20"/>
        </w:rPr>
        <w:t xml:space="preserve">LEASE COMMITMENTS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leases retail stores, manufacturing, distribution, engineering, and research and development facilities, office space, equipment, and automobiles under operating lease agreements. Leases have remaining lease terms of one to 14 years, inclusive of renewal options that the Company is reasonably certain to exercise.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October 15, 2025, the Company entered into a new operating Lease Agreement (the "Glendale Lease") in Glendale, Arizona. The Glendale Lease commenced on February 1, 2026, with an initial term of 122 calendar months with two three-year extension options. The Glendale Lease provides for an initial monthly base rent of $103, subject to annual fixed escalators of 3.5%. In addition to base rent, the Company is responsible for its pro rata share of real property taxes, utilities, and insurance expenses, which are accounted for as variable lease costs. The renewal options have not been included in the measurement of the right-of-use asset and lease liability as the Company has determined it is not reasonably certain to exercise such options at this time.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Upon commencement of the Glendale Lease on February 1, 2026, the Company recognized an operating lease right-of-use asset of $10.1 million and a corresponding operating lease liability of approximately $10.1 million. The right-of-use asset and lease liability were measured at the present value of future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payments over the initial 122 calendar month lease term, discounted using the Company's incremental borrowing rate of 7.5% at the commencement date, as the rate implicit in the Glendale Lease was not readily determinable.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operating lease assets and obligations, and provides information associated with the measurement of operating lease obligations.</w:t>
      </w:r>
    </w:p>
    <w:tbl>
      <w:tblPr>
        <w:tblW w:w="9131" w:type="dxa"/>
        <w:jc w:val="left"/>
        <w:tblInd w:w="0" w:type="dxa"/>
        <w:tblLayout w:type="fixed"/>
        <w:tblCellMar>
          <w:top w:w="28" w:type="dxa"/>
          <w:left w:w="28" w:type="dxa"/>
          <w:bottom w:w="28" w:type="dxa"/>
          <w:right w:w="28" w:type="dxa"/>
        </w:tblCellMar>
      </w:tblPr>
      <w:tblGrid>
        <w:gridCol w:w="2030"/>
        <w:gridCol w:w="1786"/>
        <w:gridCol w:w="1809"/>
        <w:gridCol w:w="225"/>
        <w:gridCol w:w="803"/>
        <w:gridCol w:w="306"/>
        <w:gridCol w:w="109"/>
        <w:gridCol w:w="109"/>
        <w:gridCol w:w="109"/>
        <w:gridCol w:w="301"/>
        <w:gridCol w:w="1072"/>
        <w:gridCol w:w="472"/>
      </w:tblGrid>
      <w:tr>
        <w:trPr/>
        <w:tc>
          <w:tcPr>
            <w:tcW w:w="203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As of</w:t>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33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right of use assets</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40,872 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33,415 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w:t>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 - Accrued liabilities</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 - Other noncurrent liabilities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36,164 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28,686 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liabilities</w:t>
            </w:r>
          </w:p>
        </w:tc>
        <w:tc>
          <w:tcPr>
            <w:tcW w:w="22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42,691 </w:t>
            </w:r>
          </w:p>
        </w:tc>
        <w:tc>
          <w:tcPr>
            <w:tcW w:w="30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2"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34,527 </w:t>
            </w:r>
          </w:p>
        </w:tc>
        <w:tc>
          <w:tcPr>
            <w:tcW w:w="47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Lease term and discount rate</w:t>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(in years)</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w:t>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following summarizes the components of operating lease expense and provides supplemental cash flow information for operating leases: </w:t>
      </w:r>
    </w:p>
    <w:tbl>
      <w:tblPr>
        <w:tblW w:w="10205" w:type="dxa"/>
        <w:jc w:val="center"/>
        <w:tblInd w:w="0" w:type="dxa"/>
        <w:tblLayout w:type="fixed"/>
        <w:tblCellMar>
          <w:top w:w="28" w:type="dxa"/>
          <w:left w:w="28" w:type="dxa"/>
          <w:bottom w:w="28" w:type="dxa"/>
          <w:right w:w="28" w:type="dxa"/>
        </w:tblCellMar>
      </w:tblPr>
      <w:tblGrid>
        <w:gridCol w:w="1657"/>
        <w:gridCol w:w="1381"/>
        <w:gridCol w:w="1383"/>
        <w:gridCol w:w="255"/>
        <w:gridCol w:w="783"/>
        <w:gridCol w:w="131"/>
        <w:gridCol w:w="118"/>
        <w:gridCol w:w="118"/>
        <w:gridCol w:w="118"/>
        <w:gridCol w:w="255"/>
        <w:gridCol w:w="783"/>
        <w:gridCol w:w="131"/>
        <w:gridCol w:w="109"/>
        <w:gridCol w:w="109"/>
        <w:gridCol w:w="109"/>
        <w:gridCol w:w="255"/>
        <w:gridCol w:w="783"/>
        <w:gridCol w:w="131"/>
        <w:gridCol w:w="124"/>
        <w:gridCol w:w="124"/>
        <w:gridCol w:w="124"/>
        <w:gridCol w:w="253"/>
        <w:gridCol w:w="777"/>
        <w:gridCol w:w="194"/>
      </w:tblGrid>
      <w:tr>
        <w:trPr/>
        <w:tc>
          <w:tcPr>
            <w:tcW w:w="165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5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7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Components of lease expense:</w:t>
            </w:r>
          </w:p>
        </w:tc>
        <w:tc>
          <w:tcPr>
            <w:tcW w:w="11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Operating lease expense</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Variable lease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Short-term lease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Total lease expense</w:t>
            </w:r>
          </w:p>
        </w:tc>
        <w:tc>
          <w:tcPr>
            <w:tcW w:w="25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2,129 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2,124 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4,453 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4,596 </w:t>
            </w:r>
          </w:p>
        </w:tc>
        <w:tc>
          <w:tcPr>
            <w:tcW w:w="19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9"/>
              </w:rPr>
            </w:pPr>
            <w:r>
              <w:rPr>
                <w:rFonts w:ascii="Arial;sans-serif" w:hAnsi="Arial;sans-serif"/>
                <w:b/>
                <w:color w:val="000000"/>
                <w:sz w:val="19"/>
              </w:rPr>
              <w:t>Supplemental cash flow information related to leases:</w:t>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Cash paid for amounts included in measurement of operating lease liabilities</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Right-of-use assets obtained in exchange for new operating lease liabilities</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9"/>
              </w:rPr>
            </w:pPr>
            <w:r>
              <w:rPr>
                <w:rFonts w:ascii="Arial;sans-serif" w:hAnsi="Arial;sans-serif"/>
                <w:b w:val="false"/>
                <w:color w:val="000000"/>
                <w:sz w:val="19"/>
              </w:rPr>
              <w:t>Decapitalization of right-of-use assets upon lease termination or modification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9"/>
              </w:rPr>
            </w:pPr>
            <w:r>
              <w:rPr>
                <w:rFonts w:ascii="Arial;sans-serif" w:hAnsi="Arial;sans-serif"/>
                <w:b w:val="false"/>
                <w:color w:val="000000"/>
                <w:sz w:val="19"/>
              </w:rPr>
              <w:t>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summarizes the maturities of the Company's operating lease liabilities as of June 28, 2026:</w:t>
      </w:r>
    </w:p>
    <w:tbl>
      <w:tblPr>
        <w:tblW w:w="6425" w:type="dxa"/>
        <w:jc w:val="left"/>
        <w:tblInd w:w="0" w:type="dxa"/>
        <w:tblLayout w:type="fixed"/>
        <w:tblCellMar>
          <w:top w:w="28" w:type="dxa"/>
          <w:left w:w="28" w:type="dxa"/>
          <w:bottom w:w="28" w:type="dxa"/>
          <w:right w:w="28" w:type="dxa"/>
        </w:tblCellMar>
      </w:tblPr>
      <w:tblGrid>
        <w:gridCol w:w="1921"/>
        <w:gridCol w:w="1689"/>
        <w:gridCol w:w="1699"/>
        <w:gridCol w:w="211"/>
        <w:gridCol w:w="751"/>
        <w:gridCol w:w="154"/>
      </w:tblGrid>
      <w:tr>
        <w:trPr/>
        <w:tc>
          <w:tcPr>
            <w:tcW w:w="1921"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2026 (excluding the twenty-six weeks ended June 28,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52,309 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Present value of lease liabilities</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42,691 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17. </w:t>
      </w:r>
      <w:r>
        <w:rPr>
          <w:color w:val="000000"/>
        </w:rPr>
        <w:t> </w:t>
      </w:r>
      <w:r>
        <w:rPr>
          <w:rFonts w:ascii="Arial;sans-serif" w:hAnsi="Arial;sans-serif"/>
          <w:b/>
          <w:color w:val="000000"/>
          <w:sz w:val="20"/>
        </w:rPr>
        <w:t>COMMITMENTS AND CONTINGENCIES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Litigation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is a party to various lawsuits and claims in the normal course of business, as well as the putative securities class action described below. While the lawsuits and claims against the Company cannot be predicted with certainty, management believes that the ultimate resolution of such matters will not have a material effect on the consolidated financial position or liquidity of the Company; however, in light of the inherent uncertainties involved in such lawsuits and claims, some of which may be beyond the Company’s control, an adverse outcome in one or more of these matters could be material to the Company’s results of operations or cash flows for any particular reporting period. The Company has established loss provision for matters in which losses are probable and can be reasonably estimated. Although management will continue to reassess the estimated liability based on future developments, an objective assessment of such claims may not always be predictive of the outcome and actual results may vary from current estimates.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 putative securities class action was filed on November 6, 2023, 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No. 1:23-cv-148-S.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February 26, 2024, the court appointed City of Fort Lauderdale General Employees’ Retirement System to serve as lead plaintiff to prosecute claims on behalf of a proposed class of stockholders who purchased or otherwise acquired Holley securities between July 21, 2021 and February 6, 2023. On April 26, 2024, the lead plaintiff filed an amended complaint, adding Vinod Nimmagadda (the Company’s Executive Vice President of Corporate Development and New Ventures) as a defendant. The lead plaintiff alleges that statements made regarding the Company’s business, operations, and prospects violated Sections 10(b), Section 20(a) and Rule 10b-5 of the Securities Exchange Act of 1934 and seeks class certification, damages, interest, attorneys’ fees, and other relief. The Company filed a motion to dismiss on June 28, 2024. On January 7, 2025, the lead plaintiff filed a motion for leave to file a supplemented amended Complaint, which the court granted on March 20, 2025. The Company filed a motion to dismiss the supplemented amended Complaint on April 3, 2025, and on August 29, 2025, the court denied the motion to dismiss.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On April 21, 2026, the parties reached an agreement in principle to resolve the matter, and on April 22, 2026, the parties filed a joint motion to stay all case deadlines for sixty days to negotiate and prepare a settlement agreement and settlement-related papers. The Court granted the motion on April 24, 2026. To allow additional time to negotiate definitive settlement documentation, the Court subsequently granted motions to further extend all case deadlines until July 10, 2026 and July 17, 2026. The lead plaintiff filed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preliminary approval of the settlement on July 17, 2026. The settlement received preliminary Court approval on August 3, 2026.</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Based on information currently available, the Company believes that its existing accruals appropriately reflect its estimated exposure related to this matter, including amounts associated with applicable insurance deductibles. The Company expects that a substantial portion of any settlement amount in excess of the applicable deductible will be covered by insurance. Accordingly, the Company does not expect the resolution of this matter to have a material incremental impact on its consolidated financial position or results of operations.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Product Warranties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provides the changes in the Company's accrual for product warranties, which is classified as a component of accrued liabilities in the condensed consolidated balance sheets.</w:t>
      </w:r>
    </w:p>
    <w:tbl>
      <w:tblPr>
        <w:tblW w:w="10142" w:type="dxa"/>
        <w:jc w:val="center"/>
        <w:tblInd w:w="0" w:type="dxa"/>
        <w:tblLayout w:type="fixed"/>
        <w:tblCellMar>
          <w:top w:w="28" w:type="dxa"/>
          <w:left w:w="28" w:type="dxa"/>
          <w:bottom w:w="28" w:type="dxa"/>
          <w:right w:w="28" w:type="dxa"/>
        </w:tblCellMar>
      </w:tblPr>
      <w:tblGrid>
        <w:gridCol w:w="1318"/>
        <w:gridCol w:w="1162"/>
        <w:gridCol w:w="1164"/>
        <w:gridCol w:w="291"/>
        <w:gridCol w:w="893"/>
        <w:gridCol w:w="150"/>
        <w:gridCol w:w="126"/>
        <w:gridCol w:w="126"/>
        <w:gridCol w:w="126"/>
        <w:gridCol w:w="291"/>
        <w:gridCol w:w="893"/>
        <w:gridCol w:w="150"/>
        <w:gridCol w:w="109"/>
        <w:gridCol w:w="109"/>
        <w:gridCol w:w="109"/>
        <w:gridCol w:w="291"/>
        <w:gridCol w:w="894"/>
        <w:gridCol w:w="150"/>
        <w:gridCol w:w="137"/>
        <w:gridCol w:w="137"/>
        <w:gridCol w:w="137"/>
        <w:gridCol w:w="287"/>
        <w:gridCol w:w="883"/>
        <w:gridCol w:w="209"/>
      </w:tblGrid>
      <w:tr>
        <w:trPr/>
        <w:tc>
          <w:tcPr>
            <w:tcW w:w="131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7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4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1,808 </w:t>
            </w:r>
          </w:p>
        </w:tc>
        <w:tc>
          <w:tcPr>
            <w:tcW w:w="15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2,327 </w:t>
            </w:r>
          </w:p>
        </w:tc>
        <w:tc>
          <w:tcPr>
            <w:tcW w:w="15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1,991 </w:t>
            </w:r>
          </w:p>
        </w:tc>
        <w:tc>
          <w:tcPr>
            <w:tcW w:w="15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2,332 </w:t>
            </w:r>
          </w:p>
        </w:tc>
        <w:tc>
          <w:tcPr>
            <w:tcW w:w="2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for current year warranty claims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4,160 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Settlement of warranty claims</w:t>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(2,244)</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2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2,237 </w:t>
            </w:r>
          </w:p>
        </w:tc>
        <w:tc>
          <w:tcPr>
            <w:tcW w:w="15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2,534 </w:t>
            </w:r>
          </w:p>
        </w:tc>
        <w:tc>
          <w:tcPr>
            <w:tcW w:w="15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2,237 </w:t>
            </w:r>
          </w:p>
        </w:tc>
        <w:tc>
          <w:tcPr>
            <w:tcW w:w="15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2,534 </w:t>
            </w:r>
          </w:p>
        </w:tc>
        <w:tc>
          <w:tcPr>
            <w:tcW w:w="2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Employee Savings Plans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has a defined-contribution savings plan under Section 401(k) of the Internal Revenue Code that covers United States-based employees. United States-based eligible employees may contribute up to the current statutory limits under the Internal Revenue Service regulations. Holley matches employee contributions to the 401(k) Plan up to 3.5% each pay period, and an additional discretionary match of up to 1.5% is made based on company performance targets. The Company also has a defined-contribution savings plan for Canada-based employees. Canada-based eligible employees may contribute up to the current statutory limits for a Registered Retirement Savings Plan. Holley matches employee contributions to the Group Savings Plan up to 3.0% each pay period, and an additional discretionary match of up to 1.5% is made based on company performance targets.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the 13-week periods ended June 28, 2026 and June 29, 2025, the Company made matching contributions under the savings plans totaling $794 and $478, respectively. During the 26-week periods ended June 28, 2026 and June 29, 2025, the Company made matching contributions under the savings plan totaling $1,547 and $1,090,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pPr>
      <w:r>
        <w:rPr>
          <w:rFonts w:ascii="Arial;sans-serif" w:hAnsi="Arial;sans-serif"/>
          <w:b/>
          <w:color w:val="000000"/>
          <w:sz w:val="20"/>
        </w:rPr>
        <w:t>18. </w:t>
      </w:r>
      <w:r>
        <w:rPr>
          <w:color w:val="000000"/>
        </w:rPr>
        <w:t> </w:t>
      </w:r>
      <w:r>
        <w:rPr>
          <w:rFonts w:ascii="Arial;sans-serif" w:hAnsi="Arial;sans-serif"/>
          <w:b/>
          <w:color w:val="000000"/>
          <w:sz w:val="20"/>
        </w:rPr>
        <w:t>SEGMENTS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Company operates as one operating segment. The Company's chief operating decision maker ("CODM") is its Chief Executive Officer, who reviews financial information presented on a consolidated basis. The CODM uses consolidated gross margin and net income to assess financial performance and allocate resources. These financial metrics are used by the CODM to make key operating decisions, such as the determination of the rate at which the Company seeks to grow gross margin and the allocation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76" w:before="0" w:after="20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HOLLEY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NOTES TO THE CONDENSED CONSOLIDATED FINANCIAL STATEMENTS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(in thousands, except share data)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(unaudited)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budget between cost of revenues, sales and marketing, research and development, and general and administrative expenses.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presents selected financial information with respect to the Company’s single operating segment for the 13-week and 26-week periods ended June 28, 2026 and June 29, 2025:</w:t>
      </w:r>
    </w:p>
    <w:tbl>
      <w:tblPr>
        <w:tblW w:w="9878" w:type="dxa"/>
        <w:jc w:val="left"/>
        <w:tblInd w:w="0" w:type="dxa"/>
        <w:tblLayout w:type="fixed"/>
        <w:tblCellMar>
          <w:top w:w="28" w:type="dxa"/>
          <w:left w:w="28" w:type="dxa"/>
          <w:bottom w:w="28" w:type="dxa"/>
          <w:right w:w="28" w:type="dxa"/>
        </w:tblCellMar>
      </w:tblPr>
      <w:tblGrid>
        <w:gridCol w:w="1265"/>
        <w:gridCol w:w="1109"/>
        <w:gridCol w:w="1121"/>
        <w:gridCol w:w="239"/>
        <w:gridCol w:w="972"/>
        <w:gridCol w:w="123"/>
        <w:gridCol w:w="109"/>
        <w:gridCol w:w="109"/>
        <w:gridCol w:w="109"/>
        <w:gridCol w:w="239"/>
        <w:gridCol w:w="972"/>
        <w:gridCol w:w="123"/>
        <w:gridCol w:w="109"/>
        <w:gridCol w:w="109"/>
        <w:gridCol w:w="109"/>
        <w:gridCol w:w="239"/>
        <w:gridCol w:w="972"/>
        <w:gridCol w:w="123"/>
        <w:gridCol w:w="116"/>
        <w:gridCol w:w="116"/>
        <w:gridCol w:w="116"/>
        <w:gridCol w:w="238"/>
        <w:gridCol w:w="968"/>
        <w:gridCol w:w="173"/>
      </w:tblGrid>
      <w:tr>
        <w:trPr/>
        <w:tc>
          <w:tcPr>
            <w:tcW w:w="126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172,007 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166,661 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319,337 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319,705 </w:t>
            </w:r>
          </w:p>
        </w:tc>
        <w:tc>
          <w:tcPr>
            <w:tcW w:w="17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101,463 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97,103 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188,057 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186,059 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70,544 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69,558 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131,280 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133,646 </w:t>
            </w:r>
          </w:p>
        </w:tc>
        <w:tc>
          <w:tcPr>
            <w:tcW w:w="17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costs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assets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(income) expense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(9,341)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w:t>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67,779 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42,044 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111,007 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86,789 </w:t>
            </w:r>
          </w:p>
        </w:tc>
        <w:tc>
          <w:tcPr>
            <w:tcW w:w="17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2,765 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27,514 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20,273 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46,857 </w:t>
            </w:r>
          </w:p>
        </w:tc>
        <w:tc>
          <w:tcPr>
            <w:tcW w:w="17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earn-out liability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13,374 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29,082 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non-operating expense</w:t>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6,395 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13,148 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14,768 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28,598 </w:t>
            </w:r>
          </w:p>
        </w:tc>
        <w:tc>
          <w:tcPr>
            <w:tcW w:w="17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(3,630)</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14,366 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5,505 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18,259 </w:t>
            </w:r>
          </w:p>
        </w:tc>
        <w:tc>
          <w:tcPr>
            <w:tcW w:w="17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(2,430)</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10,863 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4,826 </w:t>
            </w:r>
          </w:p>
        </w:tc>
        <w:tc>
          <w:tcPr>
            <w:tcW w:w="1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13,680 </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Arial;sans-serif" w:hAnsi="Arial;sans-serif"/>
          <w:b/>
          <w:color w:val="000000"/>
          <w:sz w:val="20"/>
        </w:rPr>
        <w:t>19. </w:t>
      </w:r>
      <w:r>
        <w:rPr>
          <w:color w:val="000000"/>
        </w:rPr>
        <w:t> </w:t>
      </w:r>
      <w:r>
        <w:rPr>
          <w:rFonts w:ascii="Arial;sans-serif" w:hAnsi="Arial;sans-serif"/>
          <w:b/>
          <w:color w:val="000000"/>
          <w:sz w:val="20"/>
        </w:rPr>
        <w:t>SUBSEQUENT EVENTS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July 13, 2026, the Company repaid $15.0 million on the outstanding principal of its first lien term loan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Unless the context otherwise requires or indicates, references to “Holley,” “we,” “us,” “our”, and “the Company” in this section are to the business and operations of Holley Inc. and its subsidiaries. The following discussion and analysis should be read in conjunction with Holley’s condensed consolidated financial statements and related notes thereto included in this Quarterly Report on Form 10-Q. In addition to historical information, this discussion contains forward-looking statements that involve risks, uncertainties, and assumptions that could cause Holley’s actual results to differ materially from management’s expectations. Factors that could cause such differences are discussed herein and under the caption, “Cautionary Note Regarding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are a designer, marketer, and manufacturer of high-performance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Central to our business and growth strategy is a commitment to innovation. We have a history of developing innovative products, including new additions to existing product families, expansions of product lines, accessory offerings, and ventures into entirely new categories. We believe this strategic approach allows us to continually adapt to evolving consumer needs. Furthermore, strategic acquisitions have played a significant role in our evolution. These acquisitions have enabled us to expand our brand portfolio, enter new product categories and consumer segments, enhance DTC scale and connection, increase market share in existing product categories, and realize valuable revenue and cost synergies. While we anticipate continued organic growth, we intend to continue evaluating opportunities for strategic acquisitions that align with our current business, expanding our reach within the target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Factors Affecting our Performance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believe that our performance and future success depend on a number of factors that present significant opportunities for us but also pose risks and challenges, including those discussed above, under the caption, "Cautionary Note Regarding Forward-Looking Statements," in this Quarterly Report on Form 10-Q, under the caption, “Risk Factors,” in our Annual Report on Form 10-K for the year ended December 31, 2025, as filed with the SEC on March 16, 2026, and in our subsequent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Business Environment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business and results of operations, financial condition, and liquidity are impacted by broad economic conditions including inflation, labor shortages, disruption of the supply chain, and tariffs, as well as by geopolitical events, including military conflicts (including the conflict in Ukraine, the conflict in the Middle East, and the possible expansion of such conflicts). Our operations have been adversely impacted, and may continue to be adversely impacted, by inflationary pressures primarily related to transportation, labor and component costs. In response to the global supply chain volatility and inflationary impacts, we have attempted to minimize potential adverse impacts on our business with cost savings initiatives, price increases to customers, and by increasing inventory levels of certain products and working closely with our suppliers and customers to minimize disruptions in delivering products to customers. Our profitability has been, and may continue to be, adversely affected by constrained consumer demand and a shift in sales mix to lower-margin products, which is offset by our cost cutting and operating efficiency gains. Should the ongoing macroeconomic conditions not improve, or worsen, or if our attempts to mitigate the impact on our supply chain, operations and costs is not successful, our business, results of operations and financial condition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Impact of Tariffs and International Trade Policy on Our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United States government has increased tariffs on certain goods imported from certain countries and regions, including China, Canada, Mexico, and the European Union. In response, some foreign governments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implemented retaliatory measures. These developments introduced new complexities to global supply chains. As discussed in our quarterly report on Form 10-Q for the quarter ended March 29, 2026, we believe Holley's business model and sourcing strategies have positioned us to manage these challenges effectively and we have proactively developed and implemented plans to mitigate their impact.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February 20, 2026, the U.S. Supreme Court issued a ruling striking down certain tariffs previously imposed under the International Emergency Economic Powers Act (“IEEPA”). During the 26-week period ended June 28, 2026, we received approximately $11,057 as a refund on such tariffs, of which $1,719 was recorded as a reduction of inventory, $8,863 was recorded as other income and $475 was recorded as interest income. We continue to monitor and evaluate these developments in order to analyze their impact on our business and identify possible actions to minimize adverse effects. The ultimate availability, timing and amount of any other potential refunds on such tariffs, and the extent and duration of these tariffs, as well as their broader impact on macroeconomic conditions and our business, remain uncertain and will depend on a variety of factors outside of our control. Nevertheless, we remain committed to optimizing our operations, managing costs and leveraging our diversified supply chain to minimize the impact of tariffs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Known or Anticipated Trends</w:t>
      </w:r>
    </w:p>
    <w:p>
      <w:pPr>
        <w:pStyle w:val="TextBody"/>
        <w:bidi w:val="0"/>
        <w:spacing w:lineRule="auto" w:line="288" w:before="0" w:after="240"/>
        <w:jc w:val="both"/>
        <w:rPr/>
      </w:pPr>
      <w:r>
        <w:rPr>
          <w:rFonts w:ascii="Arial;sans-serif" w:hAnsi="Arial;sans-serif"/>
          <w:b w:val="false"/>
          <w:color w:val="000000"/>
          <w:sz w:val="20"/>
        </w:rPr>
        <w:t>As part of our strategic plan, we have launched a portfolio rebalance initiative through which we expect to exit non-core, low profit businesses while reinvesting in targeted mergers and acquisitions that align with our strategic priorities. During the 26-week period ended June 28, 2026, we sold three brands, ADS, Speartech, and Drake Brands, comprised of Drake Classic, Scott Drake, Drake Muscle Cars, Drake Automotive Group, Drake Auto Group, and Brothers Trucks brands. We continue to evaluate additional divestiture and acquisition opportunities that meet our strategic and financial criteria. See Note 2, "</w:t>
      </w:r>
      <w:r>
        <w:rPr>
          <w:rFonts w:ascii="Arial;sans-serif" w:hAnsi="Arial;sans-serif"/>
          <w:b w:val="false"/>
          <w:i/>
          <w:color w:val="000000"/>
          <w:sz w:val="20"/>
        </w:rPr>
        <w:t>Acquisition and Divestitures</w:t>
      </w:r>
      <w:r>
        <w:rPr>
          <w:rFonts w:ascii="Arial;sans-serif" w:hAnsi="Arial;sans-serif"/>
          <w:b w:val="false"/>
          <w:color w:val="000000"/>
          <w:sz w:val="20"/>
        </w:rPr>
        <w:t>" in the Notes to the condensed consolidated financial statements included in this Quarterly Report for more details.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a more complete discussion of the risks facing our business, including risks related to our ability to execute our business strategy and to successfully integrate acquisitions or achieve the expected benefits from divestitures, see "Part I, Item 1A. 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Key Components of Results of Operations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Net Sales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principal activity from which we generate our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Cost of Goods Sold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Selling, General, and Administrative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Selling, general, and administrative costs consist of payroll and related personnel expenses, IT and office services, office rent expense and professional services. In addition, self-insurance, advertising, outgoing shipping costs, pre-production and start-up costs are also included within selling, general, and administrative. We have incurred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Research and Development Costs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Research and development costs consist of payroll and related personnel, IT and office services and professional services related to research and development of new products and enhancements of current products.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Amortization of Intangible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Amortization of intangible assets represents the non</w:t>
        <w:noBreakHyphen/>
        <w:t>cash expense related to the systematic write down of our definite</w:t>
        <w:noBreakHyphen/>
        <w:t>lived intangible assets.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Restructuring Costs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Restructuring costs include charges attributable to operational restructuring and integration activities, including professional and consulting services, termination related benefits, facilities relocation, and executive transition costs.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Loss on Sale of Assets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Loss on sale of assets relates to the loss incurred related to the sales of ADS, Speartech, and Drake Brands.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Interest expense consists of interest due on the indebtedness under our credit facilities. Interest is based on SOFR or the base rate, at the Company's election, plus the applicable margin rate. As of June 28, 2026, $527.7 million was outstanding under our Credit Agreement.</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Change in Fair Value of Warrant Liability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Change in fair value of warrant liability represents remeasurement gains or losses on outstanding warrant liabilities, driven primarily by changes in our stock price and related valuation inputs.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Change in Fair Value of Earn-out Liability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Change in fair value of earn</w:t>
        <w:noBreakHyphen/>
        <w:t>out liability reflects adjustments to contingent consideration based on revised expectations of earn</w:t>
        <w:noBreakHyphen/>
        <w:t>out performance and updated valuation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13-Week Period Ended June 28, 2026 Compared With 13-Week Period Ended June 29, 2025</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table below presents Holley’s results of operations for the 13-week periods ended June 28, 2026 and June 29, 2025 (dollars in thousands):</w:t>
      </w:r>
    </w:p>
    <w:tbl>
      <w:tblPr>
        <w:tblW w:w="9746" w:type="dxa"/>
        <w:jc w:val="left"/>
        <w:tblInd w:w="0" w:type="dxa"/>
        <w:tblLayout w:type="fixed"/>
        <w:tblCellMar>
          <w:top w:w="28" w:type="dxa"/>
          <w:left w:w="28" w:type="dxa"/>
          <w:bottom w:w="28" w:type="dxa"/>
          <w:right w:w="28" w:type="dxa"/>
        </w:tblCellMar>
      </w:tblPr>
      <w:tblGrid>
        <w:gridCol w:w="1287"/>
        <w:gridCol w:w="1128"/>
        <w:gridCol w:w="1140"/>
        <w:gridCol w:w="239"/>
        <w:gridCol w:w="972"/>
        <w:gridCol w:w="123"/>
        <w:gridCol w:w="109"/>
        <w:gridCol w:w="109"/>
        <w:gridCol w:w="109"/>
        <w:gridCol w:w="239"/>
        <w:gridCol w:w="972"/>
        <w:gridCol w:w="123"/>
        <w:gridCol w:w="109"/>
        <w:gridCol w:w="109"/>
        <w:gridCol w:w="109"/>
        <w:gridCol w:w="211"/>
        <w:gridCol w:w="811"/>
        <w:gridCol w:w="109"/>
        <w:gridCol w:w="109"/>
        <w:gridCol w:w="109"/>
        <w:gridCol w:w="109"/>
        <w:gridCol w:w="382"/>
        <w:gridCol w:w="323"/>
        <w:gridCol w:w="706"/>
      </w:tblGrid>
      <w:tr>
        <w:trPr/>
        <w:tc>
          <w:tcPr>
            <w:tcW w:w="128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Change ($)</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Change (%)</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172,007 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166,661 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5,346 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7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101,463 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97,103 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70,544 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69,558 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costs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136.7</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(income) expense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2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27,514 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earn-out liability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(3,630)</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14,366 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(17,996)</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(125.3)</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(134.3)</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(2,430)</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10,863 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(13,293)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(122.4)</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(250.9)</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comprehensive income (loss)</w:t>
            </w:r>
          </w:p>
        </w:tc>
        <w:tc>
          <w:tcPr>
            <w:tcW w:w="23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(4,299)</w:t>
            </w:r>
          </w:p>
        </w:tc>
        <w:tc>
          <w:tcPr>
            <w:tcW w:w="1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12,102 </w:t>
            </w:r>
          </w:p>
        </w:tc>
        <w:tc>
          <w:tcPr>
            <w:tcW w:w="1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(16,401)</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(135.5)</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i/>
          <w:color w:val="000000"/>
          <w:sz w:val="20"/>
          <w:shd w:fill="FFFFFF" w:val="clear"/>
        </w:rPr>
      </w:pPr>
      <w:r>
        <w:rPr>
          <w:rFonts w:ascii="Arial;sans-serif" w:hAnsi="Arial;sans-serif"/>
          <w:b/>
          <w:i/>
          <w:color w:val="000000"/>
          <w:sz w:val="20"/>
          <w:shd w:fill="FFFFFF" w:val="clear"/>
        </w:rPr>
        <w:t>Net Sales</w:t>
      </w:r>
    </w:p>
    <w:p>
      <w:pPr>
        <w:pStyle w:val="TextBody"/>
        <w:bidi w:val="0"/>
        <w:spacing w:lineRule="auto" w:line="288" w:before="0" w:after="240"/>
        <w:jc w:val="both"/>
        <w:rPr/>
      </w:pPr>
      <w:r>
        <w:rPr>
          <w:rFonts w:ascii="Arial;sans-serif" w:hAnsi="Arial;sans-serif"/>
          <w:b w:val="false"/>
          <w:color w:val="000000"/>
          <w:sz w:val="20"/>
          <w:shd w:fill="FFFFFF" w:val="clear"/>
        </w:rPr>
        <w:t xml:space="preserve">Net sales for the </w:t>
      </w:r>
      <w:r>
        <w:rPr>
          <w:rFonts w:ascii="Arial;sans-serif" w:hAnsi="Arial;sans-serif"/>
          <w:b w:val="false"/>
          <w:color w:val="000000"/>
          <w:sz w:val="20"/>
        </w:rPr>
        <w:t xml:space="preserve">13-week period ended June 28, 2026 increased $5.3 million, or 3.2%, to $172.0 million, as compared to $166.7 million for the 13-week period ended June 29, 2025. The increase was primarily driven by $4.7 million of incremental net sales from the HRX acquisition and improved price realization of approximately $10.0 million, partially offset by lower sales volume of approximately $9.4 million compared to the prior year period.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Cost of Goods Sold</w:t>
      </w:r>
    </w:p>
    <w:p>
      <w:pPr>
        <w:pStyle w:val="TextBody"/>
        <w:bidi w:val="0"/>
        <w:spacing w:lineRule="auto" w:line="288" w:before="0" w:after="240"/>
        <w:jc w:val="both"/>
        <w:rPr/>
      </w:pPr>
      <w:r>
        <w:rPr>
          <w:rFonts w:ascii="Arial;sans-serif" w:hAnsi="Arial;sans-serif"/>
          <w:b w:val="false"/>
          <w:color w:val="000000"/>
          <w:sz w:val="20"/>
        </w:rPr>
        <w:t xml:space="preserve">Cost of goods sold for the 13-week period ended June 28, 2026 </w:t>
      </w:r>
      <w:r>
        <w:rPr>
          <w:rFonts w:ascii="Arial;sans-serif" w:hAnsi="Arial;sans-serif"/>
          <w:b w:val="false"/>
          <w:color w:val="000000"/>
          <w:sz w:val="20"/>
          <w:shd w:fill="FFFFFF" w:val="clear"/>
        </w:rPr>
        <w:t>increased</w:t>
      </w:r>
      <w:r>
        <w:rPr>
          <w:color w:val="000000"/>
        </w:rPr>
        <w:t xml:space="preserve"> </w:t>
      </w:r>
      <w:r>
        <w:rPr>
          <w:rFonts w:ascii="Arial;sans-serif" w:hAnsi="Arial;sans-serif"/>
          <w:b w:val="false"/>
          <w:color w:val="000000"/>
          <w:sz w:val="20"/>
          <w:shd w:fill="FFFFFF" w:val="clear"/>
        </w:rPr>
        <w:t>$4.4 million</w:t>
      </w:r>
      <w:r>
        <w:rPr>
          <w:rFonts w:ascii="Arial;sans-serif" w:hAnsi="Arial;sans-serif"/>
          <w:b w:val="false"/>
          <w:color w:val="000000"/>
          <w:sz w:val="20"/>
        </w:rPr>
        <w:t xml:space="preserve">, or 4.5%, to </w:t>
      </w:r>
      <w:r>
        <w:rPr>
          <w:rFonts w:ascii="Arial;sans-serif" w:hAnsi="Arial;sans-serif"/>
          <w:b w:val="false"/>
          <w:color w:val="000000"/>
          <w:sz w:val="20"/>
          <w:shd w:fill="FFFFFF" w:val="clear"/>
        </w:rPr>
        <w:t>$101.5 million</w:t>
      </w:r>
      <w:r>
        <w:rPr>
          <w:rFonts w:ascii="Arial;sans-serif" w:hAnsi="Arial;sans-serif"/>
          <w:b w:val="false"/>
          <w:color w:val="000000"/>
          <w:sz w:val="20"/>
        </w:rPr>
        <w:t xml:space="preserve">, as compared to </w:t>
      </w:r>
      <w:r>
        <w:rPr>
          <w:rFonts w:ascii="Arial;sans-serif" w:hAnsi="Arial;sans-serif"/>
          <w:b w:val="false"/>
          <w:color w:val="000000"/>
          <w:sz w:val="20"/>
          <w:shd w:fill="FFFFFF" w:val="clear"/>
        </w:rPr>
        <w:t>$97.1 million</w:t>
      </w:r>
      <w:r>
        <w:rPr>
          <w:color w:val="000000"/>
        </w:rPr>
        <w:t xml:space="preserve"> </w:t>
      </w:r>
      <w:r>
        <w:rPr>
          <w:rFonts w:ascii="Arial;sans-serif" w:hAnsi="Arial;sans-serif"/>
          <w:b w:val="false"/>
          <w:color w:val="000000"/>
          <w:sz w:val="20"/>
        </w:rPr>
        <w:t>for the 13-week period ended June 29, 2025. The increase in cost of goods sold in the second quarter of 2026, a period in which product sales increased 3.2%, was driven by higher tariff-related costs, additional costs associated with the recent HRX acquisition, and a one-time adjustment related to the prior-year capitalization of tariff costs.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0" w:after="240"/>
        <w:jc w:val="both"/>
        <w:rPr/>
      </w:pPr>
      <w:r>
        <w:rPr>
          <w:rFonts w:ascii="Arial;sans-serif" w:hAnsi="Arial;sans-serif"/>
          <w:b w:val="false"/>
          <w:color w:val="000000"/>
          <w:sz w:val="20"/>
        </w:rPr>
        <w:t xml:space="preserve">Gross profit for the 13-week period ended June 28, 2026 increased </w:t>
      </w:r>
      <w:r>
        <w:rPr>
          <w:rFonts w:ascii="Arial;sans-serif" w:hAnsi="Arial;sans-serif"/>
          <w:b w:val="false"/>
          <w:color w:val="000000"/>
          <w:sz w:val="20"/>
          <w:shd w:fill="FFFFFF" w:val="clear"/>
        </w:rPr>
        <w:t>$1.0 million</w:t>
      </w:r>
      <w:r>
        <w:rPr>
          <w:rFonts w:ascii="Arial;sans-serif" w:hAnsi="Arial;sans-serif"/>
          <w:b w:val="false"/>
          <w:color w:val="000000"/>
          <w:sz w:val="20"/>
        </w:rPr>
        <w:t xml:space="preserve">, or 1.4%, to </w:t>
      </w:r>
      <w:r>
        <w:rPr>
          <w:rFonts w:ascii="Arial;sans-serif" w:hAnsi="Arial;sans-serif"/>
          <w:b w:val="false"/>
          <w:color w:val="000000"/>
          <w:sz w:val="20"/>
          <w:shd w:fill="FFFFFF" w:val="clear"/>
        </w:rPr>
        <w:t>$70.5 million</w:t>
      </w:r>
      <w:r>
        <w:rPr>
          <w:rFonts w:ascii="Arial;sans-serif" w:hAnsi="Arial;sans-serif"/>
          <w:b w:val="false"/>
          <w:color w:val="000000"/>
          <w:sz w:val="20"/>
        </w:rPr>
        <w:t xml:space="preserve">, as compared to </w:t>
      </w:r>
      <w:r>
        <w:rPr>
          <w:rFonts w:ascii="Arial;sans-serif" w:hAnsi="Arial;sans-serif"/>
          <w:b w:val="false"/>
          <w:color w:val="000000"/>
          <w:sz w:val="20"/>
          <w:shd w:fill="FFFFFF" w:val="clear"/>
        </w:rPr>
        <w:t>$69.6 million</w:t>
      </w:r>
      <w:r>
        <w:rPr>
          <w:color w:val="000000"/>
        </w:rPr>
        <w:t xml:space="preserve"> </w:t>
      </w:r>
      <w:r>
        <w:rPr>
          <w:rFonts w:ascii="Arial;sans-serif" w:hAnsi="Arial;sans-serif"/>
          <w:b w:val="false"/>
          <w:color w:val="000000"/>
          <w:sz w:val="20"/>
        </w:rPr>
        <w:t xml:space="preserve">for the 13-week period ended June 29, 2025. Gross margin for the 13-week period ended June 28, 2026 was 41.0% as compared to a gross margin of 41.7% for the 13-week period ended June 29, 2025. Gross profit margin decreased due to higher tariff-related costs, a one-time adjustment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prior-year capitalization of tariff costs, and fixed cost deleverage on lower net sales volume, partially offset by pricing actions and improvements in operating efficiency.</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Selling, General and Administrative</w:t>
      </w:r>
    </w:p>
    <w:p>
      <w:pPr>
        <w:pStyle w:val="TextBody"/>
        <w:bidi w:val="0"/>
        <w:spacing w:lineRule="auto" w:line="288" w:before="0" w:after="240"/>
        <w:jc w:val="both"/>
        <w:rPr/>
      </w:pPr>
      <w:r>
        <w:rPr>
          <w:rFonts w:ascii="Arial;sans-serif" w:hAnsi="Arial;sans-serif"/>
          <w:b w:val="false"/>
          <w:color w:val="000000"/>
          <w:sz w:val="20"/>
        </w:rPr>
        <w:t xml:space="preserve">Selling, general and administrative costs for the 13-week period ended June 28, 2026 increased </w:t>
      </w:r>
      <w:r>
        <w:rPr>
          <w:rFonts w:ascii="Arial;sans-serif" w:hAnsi="Arial;sans-serif"/>
          <w:b w:val="false"/>
          <w:color w:val="000000"/>
          <w:sz w:val="20"/>
          <w:shd w:fill="FFFFFF" w:val="clear"/>
        </w:rPr>
        <w:t>$7.4 million</w:t>
      </w:r>
      <w:r>
        <w:rPr>
          <w:rFonts w:ascii="Arial;sans-serif" w:hAnsi="Arial;sans-serif"/>
          <w:b w:val="false"/>
          <w:color w:val="000000"/>
          <w:sz w:val="20"/>
        </w:rPr>
        <w:t xml:space="preserve">, or 22.7%, to </w:t>
      </w:r>
      <w:r>
        <w:rPr>
          <w:rFonts w:ascii="Arial;sans-serif" w:hAnsi="Arial;sans-serif"/>
          <w:b w:val="false"/>
          <w:color w:val="000000"/>
          <w:sz w:val="20"/>
          <w:shd w:fill="FFFFFF" w:val="clear"/>
        </w:rPr>
        <w:t>$40.4 million</w:t>
      </w:r>
      <w:r>
        <w:rPr>
          <w:rFonts w:ascii="Arial;sans-serif" w:hAnsi="Arial;sans-serif"/>
          <w:b w:val="false"/>
          <w:color w:val="000000"/>
          <w:sz w:val="20"/>
        </w:rPr>
        <w:t xml:space="preserve">, as compared to </w:t>
      </w:r>
      <w:r>
        <w:rPr>
          <w:rFonts w:ascii="Arial;sans-serif" w:hAnsi="Arial;sans-serif"/>
          <w:b w:val="false"/>
          <w:color w:val="000000"/>
          <w:sz w:val="20"/>
          <w:shd w:fill="FFFFFF" w:val="clear"/>
        </w:rPr>
        <w:t>$33.0 million</w:t>
      </w:r>
      <w:r>
        <w:rPr>
          <w:color w:val="000000"/>
        </w:rPr>
        <w:t xml:space="preserve"> </w:t>
      </w:r>
      <w:r>
        <w:rPr>
          <w:rFonts w:ascii="Arial;sans-serif" w:hAnsi="Arial;sans-serif"/>
          <w:b w:val="false"/>
          <w:color w:val="000000"/>
          <w:sz w:val="20"/>
        </w:rPr>
        <w:t>for the 13-week period ended June 29, 2025. Selling, general and administrative costs expressed as a percentage of sales increased to 23.5% for the 13-week period ended June 28, 2026 compared to 19.8% for the 13-week period ended June 29, 2025. The increase in selling, general and administrative costs was due to increased legal fees related to the securities class action and increased insurance expenses, salaries and wages, and consulting fees related to our ongoing portfolio rebalancing initiative.</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Research and Development Costs</w:t>
      </w:r>
    </w:p>
    <w:p>
      <w:pPr>
        <w:pStyle w:val="TextBody"/>
        <w:bidi w:val="0"/>
        <w:spacing w:lineRule="auto" w:line="288" w:before="0" w:after="240"/>
        <w:jc w:val="both"/>
        <w:rPr/>
      </w:pPr>
      <w:r>
        <w:rPr>
          <w:rFonts w:ascii="Arial;sans-serif" w:hAnsi="Arial;sans-serif"/>
          <w:b w:val="false"/>
          <w:color w:val="000000"/>
          <w:sz w:val="20"/>
        </w:rPr>
        <w:t xml:space="preserve">Research and development costs for the 13-week period ended June 28, 2026 </w:t>
      </w:r>
      <w:r>
        <w:rPr>
          <w:rFonts w:ascii="Arial;sans-serif" w:hAnsi="Arial;sans-serif"/>
          <w:b w:val="false"/>
          <w:color w:val="000000"/>
          <w:sz w:val="20"/>
          <w:shd w:fill="FFFFFF" w:val="clear"/>
        </w:rPr>
        <w:t xml:space="preserve">decreased to $3.7 million as compared to $5.1 million for the </w:t>
      </w:r>
      <w:r>
        <w:rPr>
          <w:rFonts w:ascii="Arial;sans-serif" w:hAnsi="Arial;sans-serif"/>
          <w:b w:val="false"/>
          <w:color w:val="000000"/>
          <w:sz w:val="20"/>
        </w:rPr>
        <w:t>13-week period ended June 29, 2025, primarily due to a decrease in salaries and consulting fees.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Amortization of Intangible Assets</w:t>
      </w:r>
    </w:p>
    <w:p>
      <w:pPr>
        <w:pStyle w:val="TextBody"/>
        <w:bidi w:val="0"/>
        <w:spacing w:lineRule="auto" w:line="288" w:before="0" w:after="240"/>
        <w:jc w:val="both"/>
        <w:rPr/>
      </w:pPr>
      <w:r>
        <w:rPr>
          <w:rFonts w:ascii="Arial;sans-serif" w:hAnsi="Arial;sans-serif"/>
          <w:b w:val="false"/>
          <w:color w:val="000000"/>
          <w:sz w:val="20"/>
        </w:rPr>
        <w:t xml:space="preserve">Amortization of intangible assets remained steady at </w:t>
      </w:r>
      <w:r>
        <w:rPr>
          <w:rFonts w:ascii="Arial;sans-serif" w:hAnsi="Arial;sans-serif"/>
          <w:b w:val="false"/>
          <w:color w:val="000000"/>
          <w:sz w:val="20"/>
          <w:shd w:fill="FFFFFF" w:val="clear"/>
        </w:rPr>
        <w:t>$3.4 million</w:t>
      </w:r>
      <w:r>
        <w:rPr>
          <w:color w:val="000000"/>
        </w:rPr>
        <w:t xml:space="preserve"> </w:t>
      </w:r>
      <w:r>
        <w:rPr>
          <w:rFonts w:ascii="Arial;sans-serif" w:hAnsi="Arial;sans-serif"/>
          <w:b w:val="false"/>
          <w:color w:val="000000"/>
          <w:sz w:val="20"/>
        </w:rPr>
        <w:t>for the 13-week period ended June 28, 2026 and June 29, 2025.</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Restructuring Costs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Restructuring costs for the 13-week period ended June 28, 2026 increased by $0.4 million to $0.8 million, as compared to $0.4 million for the 13-week period ended June 29, 2025, reflecting restructuring and integration activities associated with our implementation of resource allocation efforts in support of our portfolio rebalance initiative.</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Loss on Sale of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the 13-week period ended June 28, 2026, the Company recognized a loss on the sale of assets of $28.3 million related to the sales of the ADS, Speartech, and Drake Brands.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Operating Income</w:t>
      </w:r>
    </w:p>
    <w:p>
      <w:pPr>
        <w:pStyle w:val="TextBody"/>
        <w:bidi w:val="0"/>
        <w:spacing w:lineRule="auto" w:line="288" w:before="0" w:after="240"/>
        <w:jc w:val="both"/>
        <w:rPr/>
      </w:pPr>
      <w:r>
        <w:rPr>
          <w:rFonts w:ascii="Arial;sans-serif" w:hAnsi="Arial;sans-serif"/>
          <w:b w:val="false"/>
          <w:color w:val="000000"/>
          <w:sz w:val="20"/>
        </w:rPr>
        <w:t xml:space="preserve">As a result of factors described above, operating income for the 13-week period ended June 28, 2026 decreased </w:t>
      </w:r>
      <w:r>
        <w:rPr>
          <w:rFonts w:ascii="Arial;sans-serif" w:hAnsi="Arial;sans-serif"/>
          <w:b w:val="false"/>
          <w:color w:val="000000"/>
          <w:sz w:val="20"/>
          <w:shd w:fill="FFFFFF" w:val="clear"/>
        </w:rPr>
        <w:t>$24.7 million</w:t>
      </w:r>
      <w:r>
        <w:rPr>
          <w:rFonts w:ascii="Arial;sans-serif" w:hAnsi="Arial;sans-serif"/>
          <w:b w:val="false"/>
          <w:color w:val="000000"/>
          <w:sz w:val="20"/>
        </w:rPr>
        <w:t xml:space="preserve">, or 89.9%, to </w:t>
      </w:r>
      <w:r>
        <w:rPr>
          <w:rFonts w:ascii="Arial;sans-serif" w:hAnsi="Arial;sans-serif"/>
          <w:b w:val="false"/>
          <w:color w:val="000000"/>
          <w:sz w:val="20"/>
          <w:shd w:fill="FFFFFF" w:val="clear"/>
        </w:rPr>
        <w:t>$2.8 million</w:t>
      </w:r>
      <w:r>
        <w:rPr>
          <w:rFonts w:ascii="Arial;sans-serif" w:hAnsi="Arial;sans-serif"/>
          <w:b w:val="false"/>
          <w:color w:val="000000"/>
          <w:sz w:val="20"/>
        </w:rPr>
        <w:t xml:space="preserve">, as compared to </w:t>
      </w:r>
      <w:r>
        <w:rPr>
          <w:rFonts w:ascii="Arial;sans-serif" w:hAnsi="Arial;sans-serif"/>
          <w:b w:val="false"/>
          <w:color w:val="000000"/>
          <w:sz w:val="20"/>
          <w:shd w:fill="FFFFFF" w:val="clear"/>
        </w:rPr>
        <w:t>$27.5 million</w:t>
      </w:r>
      <w:r>
        <w:rPr>
          <w:color w:val="000000"/>
        </w:rPr>
        <w:t xml:space="preserve"> </w:t>
      </w:r>
      <w:r>
        <w:rPr>
          <w:rFonts w:ascii="Arial;sans-serif" w:hAnsi="Arial;sans-serif"/>
          <w:b w:val="false"/>
          <w:color w:val="000000"/>
          <w:sz w:val="20"/>
        </w:rPr>
        <w:t>for the 13-week period ended June 29, 2025.</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Change in Fair Value of Warrant Liability</w:t>
      </w:r>
    </w:p>
    <w:p>
      <w:pPr>
        <w:pStyle w:val="TextBody"/>
        <w:bidi w:val="0"/>
        <w:spacing w:lineRule="auto" w:line="288" w:before="0" w:after="240"/>
        <w:jc w:val="both"/>
        <w:rPr/>
      </w:pPr>
      <w:r>
        <w:rPr>
          <w:rFonts w:ascii="Arial;sans-serif" w:hAnsi="Arial;sans-serif"/>
          <w:b w:val="false"/>
          <w:color w:val="000000"/>
          <w:sz w:val="20"/>
        </w:rPr>
        <w:t xml:space="preserve">For the 13-week periods ended June 28, 2026 and June 29, 2025, we recognized a gain of </w:t>
      </w:r>
      <w:r>
        <w:rPr>
          <w:rFonts w:ascii="Arial;sans-serif" w:hAnsi="Arial;sans-serif"/>
          <w:b w:val="false"/>
          <w:color w:val="000000"/>
          <w:sz w:val="20"/>
          <w:shd w:fill="FFFFFF" w:val="clear"/>
        </w:rPr>
        <w:t xml:space="preserve">$0.5 million </w:t>
      </w:r>
      <w:r>
        <w:rPr>
          <w:rFonts w:ascii="Arial;sans-serif" w:hAnsi="Arial;sans-serif"/>
          <w:b w:val="false"/>
          <w:color w:val="000000"/>
          <w:sz w:val="20"/>
        </w:rPr>
        <w:t>and a gain of less than $0.1 million, respectively. The warrant liability reflects the fair value of the Warrants issued in connection with the Business Combination.</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Change in Fair Value of Earn-Out Liability</w:t>
      </w:r>
    </w:p>
    <w:p>
      <w:pPr>
        <w:pStyle w:val="TextBody"/>
        <w:bidi w:val="0"/>
        <w:spacing w:lineRule="auto" w:line="288" w:before="0" w:after="240"/>
        <w:jc w:val="both"/>
        <w:rPr/>
      </w:pPr>
      <w:r>
        <w:rPr>
          <w:rFonts w:ascii="Arial;sans-serif" w:hAnsi="Arial;sans-serif"/>
          <w:b w:val="false"/>
          <w:color w:val="000000"/>
          <w:sz w:val="20"/>
        </w:rPr>
        <w:t xml:space="preserve">For the 13-week periods ended June 28, 2026 and June 29, 2025, we recognized a gain of </w:t>
      </w:r>
      <w:r>
        <w:rPr>
          <w:rFonts w:ascii="Arial;sans-serif" w:hAnsi="Arial;sans-serif"/>
          <w:b w:val="false"/>
          <w:color w:val="000000"/>
          <w:sz w:val="20"/>
          <w:shd w:fill="FFFFFF" w:val="clear"/>
        </w:rPr>
        <w:t>$1.3 million</w:t>
      </w:r>
      <w:r>
        <w:rPr>
          <w:color w:val="000000"/>
        </w:rPr>
        <w:t xml:space="preserve"> </w:t>
      </w:r>
      <w:r>
        <w:rPr>
          <w:rFonts w:ascii="Arial;sans-serif" w:hAnsi="Arial;sans-serif"/>
          <w:b w:val="false"/>
          <w:color w:val="000000"/>
          <w:sz w:val="20"/>
        </w:rPr>
        <w:t xml:space="preserve">and a gain of </w:t>
      </w:r>
      <w:r>
        <w:rPr>
          <w:rFonts w:ascii="Arial;sans-serif" w:hAnsi="Arial;sans-serif"/>
          <w:b w:val="false"/>
          <w:color w:val="000000"/>
          <w:sz w:val="20"/>
          <w:shd w:fill="FFFFFF" w:val="clear"/>
        </w:rPr>
        <w:t>$0.2 million</w:t>
      </w:r>
      <w:r>
        <w:rPr>
          <w:rFonts w:ascii="Arial;sans-serif" w:hAnsi="Arial;sans-serif"/>
          <w:b w:val="false"/>
          <w:color w:val="000000"/>
          <w:sz w:val="20"/>
        </w:rPr>
        <w:t xml:space="preserve">, respectively. The earn-out liability reflects the fair value of the unvested Earn-Out Shares resulting from the Business Combination.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240"/>
        <w:jc w:val="both"/>
        <w:rPr/>
      </w:pPr>
      <w:r>
        <w:rPr>
          <w:rFonts w:ascii="Arial;sans-serif" w:hAnsi="Arial;sans-serif"/>
          <w:b w:val="false"/>
          <w:color w:val="000000"/>
          <w:sz w:val="20"/>
        </w:rPr>
        <w:t xml:space="preserve">Interest expense for the 13-week period ended June 28, 2026 decreased </w:t>
      </w:r>
      <w:r>
        <w:rPr>
          <w:rFonts w:ascii="Arial;sans-serif" w:hAnsi="Arial;sans-serif"/>
          <w:b w:val="false"/>
          <w:color w:val="000000"/>
          <w:sz w:val="20"/>
          <w:shd w:fill="FFFFFF" w:val="clear"/>
        </w:rPr>
        <w:t>$5.2 million</w:t>
      </w:r>
      <w:r>
        <w:rPr>
          <w:rFonts w:ascii="Arial;sans-serif" w:hAnsi="Arial;sans-serif"/>
          <w:b w:val="false"/>
          <w:color w:val="000000"/>
          <w:sz w:val="20"/>
        </w:rPr>
        <w:t xml:space="preserve">, or 38.7%, to </w:t>
      </w:r>
      <w:r>
        <w:rPr>
          <w:rFonts w:ascii="Arial;sans-serif" w:hAnsi="Arial;sans-serif"/>
          <w:b w:val="false"/>
          <w:color w:val="000000"/>
          <w:sz w:val="20"/>
          <w:shd w:fill="FFFFFF" w:val="clear"/>
        </w:rPr>
        <w:t>$8.2 million</w:t>
      </w:r>
      <w:r>
        <w:rPr>
          <w:rFonts w:ascii="Arial;sans-serif" w:hAnsi="Arial;sans-serif"/>
          <w:b w:val="false"/>
          <w:color w:val="000000"/>
          <w:sz w:val="20"/>
        </w:rPr>
        <w:t xml:space="preserve">, as compared to </w:t>
      </w:r>
      <w:r>
        <w:rPr>
          <w:rFonts w:ascii="Arial;sans-serif" w:hAnsi="Arial;sans-serif"/>
          <w:b w:val="false"/>
          <w:color w:val="000000"/>
          <w:sz w:val="20"/>
          <w:shd w:fill="FFFFFF" w:val="clear"/>
        </w:rPr>
        <w:t>$13.4 million</w:t>
      </w:r>
      <w:r>
        <w:rPr>
          <w:color w:val="000000"/>
        </w:rPr>
        <w:t xml:space="preserve"> </w:t>
      </w:r>
      <w:r>
        <w:rPr>
          <w:rFonts w:ascii="Arial;sans-serif" w:hAnsi="Arial;sans-serif"/>
          <w:b w:val="false"/>
          <w:color w:val="000000"/>
          <w:sz w:val="20"/>
        </w:rPr>
        <w:t xml:space="preserve">for the 13-week period ended June 29, 2025. The decrease was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attributable to changes in the fair value of the interest rate collar, which decreased interest expense by $1.9 million during the 13-week period ended June 28, 2026, compared to an increase to interest expense of $1.4 million the 13-week period ended June 29, 2025. Additionally, the interest expense decrease resulted from a decrease in our outstanding debt balance.</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Income (Loss) before Income Taxes</w:t>
      </w:r>
    </w:p>
    <w:p>
      <w:pPr>
        <w:pStyle w:val="TextBody"/>
        <w:bidi w:val="0"/>
        <w:spacing w:lineRule="auto" w:line="288" w:before="0" w:after="240"/>
        <w:jc w:val="both"/>
        <w:rPr/>
      </w:pPr>
      <w:r>
        <w:rPr>
          <w:rFonts w:ascii="Arial;sans-serif" w:hAnsi="Arial;sans-serif"/>
          <w:b w:val="false"/>
          <w:color w:val="000000"/>
          <w:sz w:val="20"/>
        </w:rPr>
        <w:t xml:space="preserve">As a result of factors described above, we recognized </w:t>
      </w:r>
      <w:r>
        <w:rPr>
          <w:rFonts w:ascii="Arial;sans-serif" w:hAnsi="Arial;sans-serif"/>
          <w:b w:val="false"/>
          <w:color w:val="000000"/>
          <w:sz w:val="20"/>
          <w:shd w:fill="FFFFFF" w:val="clear"/>
        </w:rPr>
        <w:t xml:space="preserve">$3.6 million of </w:t>
      </w:r>
      <w:r>
        <w:rPr>
          <w:rFonts w:ascii="Arial;sans-serif" w:hAnsi="Arial;sans-serif"/>
          <w:b w:val="false"/>
          <w:color w:val="000000"/>
          <w:sz w:val="20"/>
        </w:rPr>
        <w:t xml:space="preserve">loss before income taxes and </w:t>
      </w:r>
      <w:r>
        <w:rPr>
          <w:rFonts w:ascii="Arial;sans-serif" w:hAnsi="Arial;sans-serif"/>
          <w:b w:val="false"/>
          <w:color w:val="000000"/>
          <w:sz w:val="20"/>
          <w:shd w:fill="FFFFFF" w:val="clear"/>
        </w:rPr>
        <w:t>$14.4 million</w:t>
      </w:r>
      <w:r>
        <w:rPr>
          <w:color w:val="000000"/>
        </w:rPr>
        <w:t xml:space="preserve"> </w:t>
      </w:r>
      <w:r>
        <w:rPr>
          <w:rFonts w:ascii="Arial;sans-serif" w:hAnsi="Arial;sans-serif"/>
          <w:b w:val="false"/>
          <w:color w:val="000000"/>
          <w:sz w:val="20"/>
        </w:rPr>
        <w:t>of income before income taxes for the 13-week periods ended June 28, 2026 and June 29, 2025, respectively.</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Income Tax (Benefit) Expense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Income tax benefit for the 13-week period ended June 28, 2026 was $1.2 million, as compared to income tax expense of $3.5 million for the 13-week period ended June 29, 2025. Our effective tax rate for the 13-week period ended June 28, 2026 was 33.1%. The difference between the effective tax rate for the 13-week period ended June 28, 2026 and the federal statutory rate in 2026 was due to permanent differences related to changes in fair value of warrant and earn-out liabilities recognized during the period, the benefit from the foreign derived intangible income (FDII) deduction, federal research and development tax credits, state taxes, and the impact of foreign taxes in higher tax rate jurisdictions. The effective tax rate for the 13-week period ended June 29, 2025 was 24.4%. The difference between the effective tax rate for the 13-week period ended June 29, 2025 and the federal statutory rate in 2025 was due to federal research and development tax credits, the impact of foreign taxes in higher rate jurisdictions, and excess tax deficiencies from share based compensation recognized during the period.</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Net Income (Loss) and Total Comprehensive (Loss) Income</w:t>
      </w:r>
    </w:p>
    <w:p>
      <w:pPr>
        <w:pStyle w:val="TextBody"/>
        <w:bidi w:val="0"/>
        <w:spacing w:lineRule="auto" w:line="288" w:before="0" w:after="240"/>
        <w:jc w:val="both"/>
        <w:rPr/>
      </w:pPr>
      <w:r>
        <w:rPr>
          <w:rFonts w:ascii="Arial;sans-serif" w:hAnsi="Arial;sans-serif"/>
          <w:b w:val="false"/>
          <w:color w:val="000000"/>
          <w:sz w:val="20"/>
        </w:rPr>
        <w:t xml:space="preserve">As a result of factors described above, we recognized net loss of $2.4 million and net income of </w:t>
      </w:r>
      <w:r>
        <w:rPr>
          <w:rFonts w:ascii="Arial;sans-serif" w:hAnsi="Arial;sans-serif"/>
          <w:b w:val="false"/>
          <w:color w:val="000000"/>
          <w:sz w:val="20"/>
          <w:shd w:fill="FFFFFF" w:val="clear"/>
        </w:rPr>
        <w:t>$10.9 million</w:t>
      </w:r>
      <w:r>
        <w:rPr>
          <w:color w:val="000000"/>
        </w:rPr>
        <w:t xml:space="preserve"> </w:t>
      </w:r>
      <w:r>
        <w:rPr>
          <w:rFonts w:ascii="Arial;sans-serif" w:hAnsi="Arial;sans-serif"/>
          <w:b w:val="false"/>
          <w:color w:val="000000"/>
          <w:sz w:val="20"/>
        </w:rPr>
        <w:t>for the 13-week periods ended June 28, 2026 and June 29, 2025, respectively. Additionally, we recognized total comprehensive loss of $4.3 million for the 13-week period ended June 28, 2026, as compared to total comprehensive income of $12.1 million for the 13-week period ended June 29, 2025. Comprehensive income and loss includes the effect of foreign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Results of Operations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26-Week Period Ended June 28, 2026 Compared With 26-Week Period Ended June 29, 2025</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table below presents Holley’s results of operations for the 26-week periods ended June 28, 2026 and June 29, 2025 (dollars in thousands):</w:t>
      </w:r>
    </w:p>
    <w:tbl>
      <w:tblPr>
        <w:tblW w:w="9851" w:type="dxa"/>
        <w:jc w:val="left"/>
        <w:tblInd w:w="0" w:type="dxa"/>
        <w:tblLayout w:type="fixed"/>
        <w:tblCellMar>
          <w:top w:w="28" w:type="dxa"/>
          <w:left w:w="28" w:type="dxa"/>
          <w:bottom w:w="28" w:type="dxa"/>
          <w:right w:w="28" w:type="dxa"/>
        </w:tblCellMar>
      </w:tblPr>
      <w:tblGrid>
        <w:gridCol w:w="1287"/>
        <w:gridCol w:w="1128"/>
        <w:gridCol w:w="1140"/>
        <w:gridCol w:w="239"/>
        <w:gridCol w:w="972"/>
        <w:gridCol w:w="123"/>
        <w:gridCol w:w="109"/>
        <w:gridCol w:w="109"/>
        <w:gridCol w:w="109"/>
        <w:gridCol w:w="239"/>
        <w:gridCol w:w="972"/>
        <w:gridCol w:w="123"/>
        <w:gridCol w:w="109"/>
        <w:gridCol w:w="109"/>
        <w:gridCol w:w="109"/>
        <w:gridCol w:w="211"/>
        <w:gridCol w:w="811"/>
        <w:gridCol w:w="109"/>
        <w:gridCol w:w="109"/>
        <w:gridCol w:w="109"/>
        <w:gridCol w:w="109"/>
        <w:gridCol w:w="428"/>
        <w:gridCol w:w="382"/>
        <w:gridCol w:w="706"/>
      </w:tblGrid>
      <w:tr>
        <w:trPr/>
        <w:tc>
          <w:tcPr>
            <w:tcW w:w="128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Change ($)</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Change (%)</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319,337 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319,705 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7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188,057 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186,059 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131,280 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133,646 </w:t>
            </w:r>
          </w:p>
        </w:tc>
        <w:tc>
          <w:tcPr>
            <w:tcW w:w="12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costs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109.7 </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(income) expense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(9,341)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(3734.7)</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20,273 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46,857 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(26,584)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earn-out liability</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5,505 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18,259 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(12,754)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(69.8)</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4,826 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13,680 </w:t>
            </w:r>
          </w:p>
        </w:tc>
        <w:tc>
          <w:tcPr>
            <w:tcW w:w="123"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(8,854)</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(396.2)</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comprehensive income</w:t>
            </w:r>
          </w:p>
        </w:tc>
        <w:tc>
          <w:tcPr>
            <w:tcW w:w="23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2,001 </w:t>
            </w:r>
          </w:p>
        </w:tc>
        <w:tc>
          <w:tcPr>
            <w:tcW w:w="1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14,634 </w:t>
            </w:r>
          </w:p>
        </w:tc>
        <w:tc>
          <w:tcPr>
            <w:tcW w:w="1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(12,633)</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(86.3)</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i/>
          <w:color w:val="000000"/>
          <w:sz w:val="20"/>
          <w:shd w:fill="FFFFFF" w:val="clear"/>
        </w:rPr>
      </w:pPr>
      <w:r>
        <w:rPr>
          <w:rFonts w:ascii="Arial;sans-serif" w:hAnsi="Arial;sans-serif"/>
          <w:b/>
          <w:i/>
          <w:color w:val="000000"/>
          <w:sz w:val="20"/>
          <w:shd w:fill="FFFFFF" w:val="clear"/>
        </w:rPr>
        <w:t>Net Sales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Net sales for the 26-week period ended June 28, 2026 decreased $0.4 million, or 0.1%, to $319.3 million, as compared to $319.7 million for the 26-week period ended June 29, 2025. Lower sales volume resulted in a decrease of approximately $18.6 million, offset partially by HRX acquisition net sales and improved price realization totalling approximately $18.2 million compared to the prior year period.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Cost of Goods Sold</w:t>
      </w:r>
    </w:p>
    <w:p>
      <w:pPr>
        <w:pStyle w:val="TextBody"/>
        <w:bidi w:val="0"/>
        <w:spacing w:lineRule="auto" w:line="288" w:before="0" w:after="240"/>
        <w:jc w:val="both"/>
        <w:rPr/>
      </w:pPr>
      <w:r>
        <w:rPr>
          <w:rFonts w:ascii="Arial;sans-serif" w:hAnsi="Arial;sans-serif"/>
          <w:b w:val="false"/>
          <w:color w:val="000000"/>
          <w:sz w:val="20"/>
        </w:rPr>
        <w:t>Cost of goods sold for the 26-week period ended June 28, 2026</w:t>
      </w:r>
      <w:r>
        <w:rPr>
          <w:color w:val="000000"/>
        </w:rPr>
        <w:t xml:space="preserve"> </w:t>
      </w:r>
      <w:r>
        <w:rPr>
          <w:rFonts w:ascii="Arial;sans-serif" w:hAnsi="Arial;sans-serif"/>
          <w:b w:val="false"/>
          <w:color w:val="000000"/>
          <w:sz w:val="20"/>
        </w:rPr>
        <w:t xml:space="preserve">increased </w:t>
      </w:r>
      <w:r>
        <w:rPr>
          <w:rFonts w:ascii="Arial;sans-serif" w:hAnsi="Arial;sans-serif"/>
          <w:b w:val="false"/>
          <w:color w:val="000000"/>
          <w:sz w:val="20"/>
          <w:shd w:fill="FFFFFF" w:val="clear"/>
        </w:rPr>
        <w:t>$2.0 million</w:t>
      </w:r>
      <w:r>
        <w:rPr>
          <w:rFonts w:ascii="Arial;sans-serif" w:hAnsi="Arial;sans-serif"/>
          <w:b w:val="false"/>
          <w:color w:val="000000"/>
          <w:sz w:val="20"/>
        </w:rPr>
        <w:t xml:space="preserve">, or 1.1%, to </w:t>
      </w:r>
      <w:r>
        <w:rPr>
          <w:rFonts w:ascii="Arial;sans-serif" w:hAnsi="Arial;sans-serif"/>
          <w:b w:val="false"/>
          <w:color w:val="000000"/>
          <w:sz w:val="20"/>
          <w:shd w:fill="FFFFFF" w:val="clear"/>
        </w:rPr>
        <w:t>$188.1 million</w:t>
      </w:r>
      <w:r>
        <w:rPr>
          <w:rFonts w:ascii="Arial;sans-serif" w:hAnsi="Arial;sans-serif"/>
          <w:b w:val="false"/>
          <w:color w:val="000000"/>
          <w:sz w:val="20"/>
        </w:rPr>
        <w:t xml:space="preserve">, as compared to </w:t>
      </w:r>
      <w:r>
        <w:rPr>
          <w:rFonts w:ascii="Arial;sans-serif" w:hAnsi="Arial;sans-serif"/>
          <w:b w:val="false"/>
          <w:color w:val="000000"/>
          <w:sz w:val="20"/>
          <w:shd w:fill="FFFFFF" w:val="clear"/>
        </w:rPr>
        <w:t>$186.1 million</w:t>
      </w:r>
      <w:r>
        <w:rPr>
          <w:color w:val="000000"/>
        </w:rPr>
        <w:t xml:space="preserve"> </w:t>
      </w:r>
      <w:r>
        <w:rPr>
          <w:rFonts w:ascii="Arial;sans-serif" w:hAnsi="Arial;sans-serif"/>
          <w:b w:val="false"/>
          <w:color w:val="000000"/>
          <w:sz w:val="20"/>
        </w:rPr>
        <w:t>for the 26-week period ended June 29, 2025. The increase in cost of goods sold in 2026, a period in which product sales decreased 0.1%, was primarily due to additional costs associated with the recent HRX acquisition and a one-time adjustment related to the prior-year capitalization of tariff costs.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0" w:after="240"/>
        <w:jc w:val="both"/>
        <w:rPr/>
      </w:pPr>
      <w:r>
        <w:rPr>
          <w:rFonts w:ascii="Arial;sans-serif" w:hAnsi="Arial;sans-serif"/>
          <w:b w:val="false"/>
          <w:color w:val="000000"/>
          <w:sz w:val="20"/>
        </w:rPr>
        <w:t xml:space="preserve">Gross profit for the 26-week period ended June 28, 2026 decreased </w:t>
      </w:r>
      <w:r>
        <w:rPr>
          <w:rFonts w:ascii="Arial;sans-serif" w:hAnsi="Arial;sans-serif"/>
          <w:b w:val="false"/>
          <w:color w:val="000000"/>
          <w:sz w:val="20"/>
          <w:shd w:fill="FFFFFF" w:val="clear"/>
        </w:rPr>
        <w:t>$2.3 million</w:t>
      </w:r>
      <w:r>
        <w:rPr>
          <w:rFonts w:ascii="Arial;sans-serif" w:hAnsi="Arial;sans-serif"/>
          <w:b w:val="false"/>
          <w:color w:val="000000"/>
          <w:sz w:val="20"/>
        </w:rPr>
        <w:t xml:space="preserve">, or 1.8%, to </w:t>
      </w:r>
      <w:r>
        <w:rPr>
          <w:rFonts w:ascii="Arial;sans-serif" w:hAnsi="Arial;sans-serif"/>
          <w:b w:val="false"/>
          <w:color w:val="000000"/>
          <w:sz w:val="20"/>
          <w:shd w:fill="FFFFFF" w:val="clear"/>
        </w:rPr>
        <w:t>$131.3 million</w:t>
      </w:r>
      <w:r>
        <w:rPr>
          <w:rFonts w:ascii="Arial;sans-serif" w:hAnsi="Arial;sans-serif"/>
          <w:b w:val="false"/>
          <w:color w:val="000000"/>
          <w:sz w:val="20"/>
        </w:rPr>
        <w:t xml:space="preserve">, as compared to </w:t>
      </w:r>
      <w:r>
        <w:rPr>
          <w:rFonts w:ascii="Arial;sans-serif" w:hAnsi="Arial;sans-serif"/>
          <w:b w:val="false"/>
          <w:color w:val="000000"/>
          <w:sz w:val="20"/>
          <w:shd w:fill="FFFFFF" w:val="clear"/>
        </w:rPr>
        <w:t>$133.6 million</w:t>
      </w:r>
      <w:r>
        <w:rPr>
          <w:color w:val="000000"/>
        </w:rPr>
        <w:t xml:space="preserve"> </w:t>
      </w:r>
      <w:r>
        <w:rPr>
          <w:rFonts w:ascii="Arial;sans-serif" w:hAnsi="Arial;sans-serif"/>
          <w:b w:val="false"/>
          <w:color w:val="000000"/>
          <w:sz w:val="20"/>
        </w:rPr>
        <w:t>for the 26-week period ended June 29, 2025. Gross margin for the 26-week period ended June 28, 2026 was 41.1% as compared to a gross margin of 41.8% for the 26-week period ended June 29, 2025. Gross profit margin decreased slightly due to fixed cost deleverage on lower new sales volume, partially offset by pricing actions and improvements in operating efficiency.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Selling, General and Administrative</w:t>
      </w:r>
    </w:p>
    <w:p>
      <w:pPr>
        <w:pStyle w:val="TextBody"/>
        <w:bidi w:val="0"/>
        <w:spacing w:lineRule="auto" w:line="288" w:before="0" w:after="240"/>
        <w:jc w:val="both"/>
        <w:rPr/>
      </w:pPr>
      <w:r>
        <w:rPr>
          <w:rFonts w:ascii="Arial;sans-serif" w:hAnsi="Arial;sans-serif"/>
          <w:b w:val="false"/>
          <w:color w:val="000000"/>
          <w:sz w:val="20"/>
        </w:rPr>
        <w:t xml:space="preserve">Selling, general and administrative costs for the 26-week period ended June 28, 2026 increased </w:t>
      </w:r>
      <w:r>
        <w:rPr>
          <w:rFonts w:ascii="Arial;sans-serif" w:hAnsi="Arial;sans-serif"/>
          <w:b w:val="false"/>
          <w:color w:val="000000"/>
          <w:sz w:val="20"/>
          <w:shd w:fill="FFFFFF" w:val="clear"/>
        </w:rPr>
        <w:t>$6.1 million</w:t>
      </w:r>
      <w:r>
        <w:rPr>
          <w:rFonts w:ascii="Arial;sans-serif" w:hAnsi="Arial;sans-serif"/>
          <w:b w:val="false"/>
          <w:color w:val="000000"/>
          <w:sz w:val="20"/>
        </w:rPr>
        <w:t xml:space="preserve">, or 8.9%, to </w:t>
      </w:r>
      <w:r>
        <w:rPr>
          <w:rFonts w:ascii="Arial;sans-serif" w:hAnsi="Arial;sans-serif"/>
          <w:b w:val="false"/>
          <w:color w:val="000000"/>
          <w:sz w:val="20"/>
          <w:shd w:fill="FFFFFF" w:val="clear"/>
        </w:rPr>
        <w:t>$75.8 million</w:t>
      </w:r>
      <w:r>
        <w:rPr>
          <w:rFonts w:ascii="Arial;sans-serif" w:hAnsi="Arial;sans-serif"/>
          <w:b w:val="false"/>
          <w:color w:val="000000"/>
          <w:sz w:val="20"/>
        </w:rPr>
        <w:t xml:space="preserve">, as compared to </w:t>
      </w:r>
      <w:r>
        <w:rPr>
          <w:rFonts w:ascii="Arial;sans-serif" w:hAnsi="Arial;sans-serif"/>
          <w:b w:val="false"/>
          <w:color w:val="000000"/>
          <w:sz w:val="20"/>
          <w:shd w:fill="FFFFFF" w:val="clear"/>
        </w:rPr>
        <w:t>$69.7 million</w:t>
      </w:r>
      <w:r>
        <w:rPr>
          <w:color w:val="000000"/>
        </w:rPr>
        <w:t xml:space="preserve"> </w:t>
      </w:r>
      <w:r>
        <w:rPr>
          <w:rFonts w:ascii="Arial;sans-serif" w:hAnsi="Arial;sans-serif"/>
          <w:b w:val="false"/>
          <w:color w:val="000000"/>
          <w:sz w:val="20"/>
        </w:rPr>
        <w:t>for the 26-week period ended June 29, 2025. Selling, general and administrative costs expressed as a percentage of sales increased to 23.7% for the 26-week period ended June 28, 2026 compared to 21.8% for the 26-week period ended June 29, 2025. The increase in selling, general and administrative costs was mainly driven by increases in salaries and equity compensation, related to an increase in administrative costs due to our recent acquisition and portfolio rebalance initiative, and an increase to insurance costs, related to the timing of renewal.</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Research and Development Costs</w:t>
      </w:r>
    </w:p>
    <w:p>
      <w:pPr>
        <w:pStyle w:val="TextBody"/>
        <w:bidi w:val="0"/>
        <w:spacing w:lineRule="auto" w:line="288" w:before="0" w:after="240"/>
        <w:jc w:val="both"/>
        <w:rPr/>
      </w:pPr>
      <w:r>
        <w:rPr>
          <w:rFonts w:ascii="Arial;sans-serif" w:hAnsi="Arial;sans-serif"/>
          <w:b w:val="false"/>
          <w:color w:val="000000"/>
          <w:sz w:val="20"/>
        </w:rPr>
        <w:t xml:space="preserve">Research and development costs for the 26-week period ended June 28, 2026 </w:t>
      </w:r>
      <w:r>
        <w:rPr>
          <w:rFonts w:ascii="Arial;sans-serif" w:hAnsi="Arial;sans-serif"/>
          <w:b w:val="false"/>
          <w:color w:val="000000"/>
          <w:sz w:val="20"/>
          <w:shd w:fill="FFFFFF" w:val="clear"/>
        </w:rPr>
        <w:t xml:space="preserve">decreased to $7.7 million as compared to $9.2 million for the </w:t>
      </w:r>
      <w:r>
        <w:rPr>
          <w:rFonts w:ascii="Arial;sans-serif" w:hAnsi="Arial;sans-serif"/>
          <w:b w:val="false"/>
          <w:color w:val="000000"/>
          <w:sz w:val="20"/>
        </w:rPr>
        <w:t>26-week period ended June 29, 2025, primarily due to a decrease in salaries and consulting fees.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Amortization and Impairment of Intangible Assets</w:t>
      </w:r>
    </w:p>
    <w:p>
      <w:pPr>
        <w:pStyle w:val="TextBody"/>
        <w:bidi w:val="0"/>
        <w:spacing w:lineRule="auto" w:line="288" w:before="0" w:after="240"/>
        <w:jc w:val="both"/>
        <w:rPr/>
      </w:pPr>
      <w:r>
        <w:rPr>
          <w:rFonts w:ascii="Arial;sans-serif" w:hAnsi="Arial;sans-serif"/>
          <w:b w:val="false"/>
          <w:color w:val="000000"/>
          <w:sz w:val="20"/>
        </w:rPr>
        <w:t xml:space="preserve">Amortization of intangible assets was </w:t>
      </w:r>
      <w:r>
        <w:rPr>
          <w:rFonts w:ascii="Arial;sans-serif" w:hAnsi="Arial;sans-serif"/>
          <w:b w:val="false"/>
          <w:color w:val="000000"/>
          <w:sz w:val="20"/>
          <w:shd w:fill="FFFFFF" w:val="clear"/>
        </w:rPr>
        <w:t>$6.8 million</w:t>
      </w:r>
      <w:r>
        <w:rPr>
          <w:color w:val="000000"/>
        </w:rPr>
        <w:t xml:space="preserve"> </w:t>
      </w:r>
      <w:r>
        <w:rPr>
          <w:rFonts w:ascii="Arial;sans-serif" w:hAnsi="Arial;sans-serif"/>
          <w:b w:val="false"/>
          <w:color w:val="000000"/>
          <w:sz w:val="20"/>
        </w:rPr>
        <w:t xml:space="preserve">for the 26-week period ended June 28, 2026 compared to </w:t>
      </w:r>
      <w:r>
        <w:rPr>
          <w:rFonts w:ascii="Arial;sans-serif" w:hAnsi="Arial;sans-serif"/>
          <w:b w:val="false"/>
          <w:color w:val="000000"/>
          <w:sz w:val="20"/>
          <w:shd w:fill="FFFFFF" w:val="clear"/>
        </w:rPr>
        <w:t>$6.9 million</w:t>
      </w:r>
      <w:r>
        <w:rPr>
          <w:color w:val="000000"/>
        </w:rPr>
        <w:t xml:space="preserve"> </w:t>
      </w:r>
      <w:r>
        <w:rPr>
          <w:rFonts w:ascii="Arial;sans-serif" w:hAnsi="Arial;sans-serif"/>
          <w:b w:val="false"/>
          <w:color w:val="000000"/>
          <w:sz w:val="20"/>
        </w:rPr>
        <w:t xml:space="preserve">for the 26-week period ended June 29, 2025.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Restructuring Costs</w:t>
      </w:r>
    </w:p>
    <w:p>
      <w:pPr>
        <w:pStyle w:val="TextBody"/>
        <w:bidi w:val="0"/>
        <w:spacing w:lineRule="auto" w:line="288" w:before="0" w:after="240"/>
        <w:jc w:val="both"/>
        <w:rPr/>
      </w:pPr>
      <w:r>
        <w:rPr>
          <w:rFonts w:ascii="Arial;sans-serif" w:hAnsi="Arial;sans-serif"/>
          <w:b w:val="false"/>
          <w:color w:val="000000"/>
          <w:sz w:val="20"/>
        </w:rPr>
        <w:t xml:space="preserve">Restructuring costs for the 26-week period ended June 28, 2026 increased by </w:t>
      </w:r>
      <w:r>
        <w:rPr>
          <w:rFonts w:ascii="Arial;sans-serif" w:hAnsi="Arial;sans-serif"/>
          <w:b w:val="false"/>
          <w:color w:val="000000"/>
          <w:sz w:val="20"/>
          <w:shd w:fill="FFFFFF" w:val="clear"/>
        </w:rPr>
        <w:t>$0.9 million</w:t>
      </w:r>
      <w:r>
        <w:rPr>
          <w:color w:val="000000"/>
        </w:rPr>
        <w:t xml:space="preserve"> </w:t>
      </w:r>
      <w:r>
        <w:rPr>
          <w:rFonts w:ascii="Arial;sans-serif" w:hAnsi="Arial;sans-serif"/>
          <w:b w:val="false"/>
          <w:color w:val="000000"/>
          <w:sz w:val="20"/>
        </w:rPr>
        <w:t xml:space="preserve">to </w:t>
      </w:r>
      <w:r>
        <w:rPr>
          <w:rFonts w:ascii="Arial;sans-serif" w:hAnsi="Arial;sans-serif"/>
          <w:b w:val="false"/>
          <w:color w:val="000000"/>
          <w:sz w:val="20"/>
          <w:shd w:fill="FFFFFF" w:val="clear"/>
        </w:rPr>
        <w:t>$1.7 million</w:t>
      </w:r>
      <w:r>
        <w:rPr>
          <w:rFonts w:ascii="Arial;sans-serif" w:hAnsi="Arial;sans-serif"/>
          <w:b w:val="false"/>
          <w:color w:val="000000"/>
          <w:sz w:val="20"/>
        </w:rPr>
        <w:t xml:space="preserve">, as compared to </w:t>
      </w:r>
      <w:r>
        <w:rPr>
          <w:rFonts w:ascii="Arial;sans-serif" w:hAnsi="Arial;sans-serif"/>
          <w:b w:val="false"/>
          <w:color w:val="000000"/>
          <w:sz w:val="20"/>
          <w:shd w:fill="FFFFFF" w:val="clear"/>
        </w:rPr>
        <w:t>$0.8 million</w:t>
      </w:r>
      <w:r>
        <w:rPr>
          <w:color w:val="000000"/>
        </w:rPr>
        <w:t xml:space="preserve"> </w:t>
      </w:r>
      <w:r>
        <w:rPr>
          <w:rFonts w:ascii="Arial;sans-serif" w:hAnsi="Arial;sans-serif"/>
          <w:b w:val="false"/>
          <w:color w:val="000000"/>
          <w:sz w:val="20"/>
        </w:rPr>
        <w:t>for the 26-week period ended June 29, 2025, reflecting restructuring and integration activities associated with our implementation of resource allocation efforts in support of portfolio rebalancing.</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Loss on Sale of Assets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the 26-week period ended June 28, 2026, the Company recognized a loss on the sale of assets of $28.3 million related to the sales of the ADS, Speartech, and Drake Brands.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Operating Income</w:t>
      </w:r>
    </w:p>
    <w:p>
      <w:pPr>
        <w:pStyle w:val="TextBody"/>
        <w:bidi w:val="0"/>
        <w:spacing w:lineRule="auto" w:line="288" w:before="0" w:after="240"/>
        <w:jc w:val="both"/>
        <w:rPr/>
      </w:pPr>
      <w:r>
        <w:rPr>
          <w:rFonts w:ascii="Arial;sans-serif" w:hAnsi="Arial;sans-serif"/>
          <w:b w:val="false"/>
          <w:color w:val="000000"/>
          <w:sz w:val="20"/>
        </w:rPr>
        <w:t xml:space="preserve">As a result of factors described above, operating income for the 26-week period ended June 28, 2026 decreased </w:t>
      </w:r>
      <w:r>
        <w:rPr>
          <w:rFonts w:ascii="Arial;sans-serif" w:hAnsi="Arial;sans-serif"/>
          <w:b w:val="false"/>
          <w:color w:val="000000"/>
          <w:sz w:val="20"/>
          <w:shd w:fill="FFFFFF" w:val="clear"/>
        </w:rPr>
        <w:t>$26.6 million</w:t>
      </w:r>
      <w:r>
        <w:rPr>
          <w:rFonts w:ascii="Arial;sans-serif" w:hAnsi="Arial;sans-serif"/>
          <w:b w:val="false"/>
          <w:color w:val="000000"/>
          <w:sz w:val="20"/>
        </w:rPr>
        <w:t xml:space="preserve">, or 56.7%, to </w:t>
      </w:r>
      <w:r>
        <w:rPr>
          <w:rFonts w:ascii="Arial;sans-serif" w:hAnsi="Arial;sans-serif"/>
          <w:b w:val="false"/>
          <w:color w:val="000000"/>
          <w:sz w:val="20"/>
          <w:shd w:fill="FFFFFF" w:val="clear"/>
        </w:rPr>
        <w:t>$20.3 million</w:t>
      </w:r>
      <w:r>
        <w:rPr>
          <w:rFonts w:ascii="Arial;sans-serif" w:hAnsi="Arial;sans-serif"/>
          <w:b w:val="false"/>
          <w:color w:val="000000"/>
          <w:sz w:val="20"/>
        </w:rPr>
        <w:t xml:space="preserve">, as compared to </w:t>
      </w:r>
      <w:r>
        <w:rPr>
          <w:rFonts w:ascii="Arial;sans-serif" w:hAnsi="Arial;sans-serif"/>
          <w:b w:val="false"/>
          <w:color w:val="000000"/>
          <w:sz w:val="20"/>
          <w:shd w:fill="FFFFFF" w:val="clear"/>
        </w:rPr>
        <w:t>$46.9 million</w:t>
      </w:r>
      <w:r>
        <w:rPr>
          <w:color w:val="000000"/>
        </w:rPr>
        <w:t xml:space="preserve"> </w:t>
      </w:r>
      <w:r>
        <w:rPr>
          <w:rFonts w:ascii="Arial;sans-serif" w:hAnsi="Arial;sans-serif"/>
          <w:b w:val="false"/>
          <w:color w:val="000000"/>
          <w:sz w:val="20"/>
        </w:rPr>
        <w:t>for the 26-week period ended June 29, 2025.</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Change in Fair Value of Warrant Liability</w:t>
      </w:r>
    </w:p>
    <w:p>
      <w:pPr>
        <w:pStyle w:val="TextBody"/>
        <w:bidi w:val="0"/>
        <w:spacing w:lineRule="auto" w:line="288" w:before="0" w:after="240"/>
        <w:jc w:val="both"/>
        <w:rPr/>
      </w:pPr>
      <w:r>
        <w:rPr>
          <w:rFonts w:ascii="Arial;sans-serif" w:hAnsi="Arial;sans-serif"/>
          <w:b w:val="false"/>
          <w:color w:val="000000"/>
          <w:sz w:val="20"/>
        </w:rPr>
        <w:t xml:space="preserve">For the 26-week periods ended June 28, 2026 and June 29, 2025, we recognized a gain of </w:t>
      </w:r>
      <w:r>
        <w:rPr>
          <w:rFonts w:ascii="Arial;sans-serif" w:hAnsi="Arial;sans-serif"/>
          <w:b w:val="false"/>
          <w:color w:val="000000"/>
          <w:sz w:val="20"/>
          <w:shd w:fill="FFFFFF" w:val="clear"/>
        </w:rPr>
        <w:t>$1.6 million</w:t>
      </w:r>
      <w:r>
        <w:rPr>
          <w:color w:val="000000"/>
        </w:rPr>
        <w:t xml:space="preserve"> </w:t>
      </w:r>
      <w:r>
        <w:rPr>
          <w:rFonts w:ascii="Arial;sans-serif" w:hAnsi="Arial;sans-serif"/>
          <w:b w:val="false"/>
          <w:color w:val="000000"/>
          <w:sz w:val="20"/>
        </w:rPr>
        <w:t xml:space="preserve">and a gain of </w:t>
      </w:r>
      <w:r>
        <w:rPr>
          <w:rFonts w:ascii="Arial;sans-serif" w:hAnsi="Arial;sans-serif"/>
          <w:b w:val="false"/>
          <w:color w:val="000000"/>
          <w:sz w:val="20"/>
          <w:shd w:fill="FFFFFF" w:val="clear"/>
        </w:rPr>
        <w:t>$0.1 million</w:t>
      </w:r>
      <w:r>
        <w:rPr>
          <w:rFonts w:ascii="Arial;sans-serif" w:hAnsi="Arial;sans-serif"/>
          <w:b w:val="false"/>
          <w:color w:val="000000"/>
          <w:sz w:val="20"/>
        </w:rPr>
        <w:t>, respectively. The warrant liability reflects the fair value of the Warrants issued in connection with the Business Combination.</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Change in Fair Value of Earn-Out Liability</w:t>
      </w:r>
    </w:p>
    <w:p>
      <w:pPr>
        <w:pStyle w:val="TextBody"/>
        <w:bidi w:val="0"/>
        <w:spacing w:lineRule="auto" w:line="288" w:before="0" w:after="240"/>
        <w:jc w:val="both"/>
        <w:rPr/>
      </w:pPr>
      <w:r>
        <w:rPr>
          <w:rFonts w:ascii="Arial;sans-serif" w:hAnsi="Arial;sans-serif"/>
          <w:b w:val="false"/>
          <w:color w:val="000000"/>
          <w:sz w:val="20"/>
        </w:rPr>
        <w:t xml:space="preserve">For the 26-week periods ended June 28, 2026 and June 29, 2025, we recognized a gain of </w:t>
      </w:r>
      <w:r>
        <w:rPr>
          <w:rFonts w:ascii="Arial;sans-serif" w:hAnsi="Arial;sans-serif"/>
          <w:b w:val="false"/>
          <w:color w:val="000000"/>
          <w:sz w:val="20"/>
          <w:shd w:fill="FFFFFF" w:val="clear"/>
        </w:rPr>
        <w:t>$1.8 million</w:t>
      </w:r>
      <w:r>
        <w:rPr>
          <w:color w:val="000000"/>
        </w:rPr>
        <w:t xml:space="preserve"> </w:t>
      </w:r>
      <w:r>
        <w:rPr>
          <w:rFonts w:ascii="Arial;sans-serif" w:hAnsi="Arial;sans-serif"/>
          <w:b w:val="false"/>
          <w:color w:val="000000"/>
          <w:sz w:val="20"/>
        </w:rPr>
        <w:t xml:space="preserve">and a gain of </w:t>
      </w:r>
      <w:r>
        <w:rPr>
          <w:rFonts w:ascii="Arial;sans-serif" w:hAnsi="Arial;sans-serif"/>
          <w:b w:val="false"/>
          <w:color w:val="000000"/>
          <w:sz w:val="20"/>
          <w:shd w:fill="FFFFFF" w:val="clear"/>
        </w:rPr>
        <w:t>$0.4 million</w:t>
      </w:r>
      <w:r>
        <w:rPr>
          <w:rFonts w:ascii="Arial;sans-serif" w:hAnsi="Arial;sans-serif"/>
          <w:b w:val="false"/>
          <w:color w:val="000000"/>
          <w:sz w:val="20"/>
        </w:rPr>
        <w:t xml:space="preserve">, respectively. The earn-out liability reflects the fair value of the unvested Earn-Out Shares resulting from the Business Combination.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240"/>
        <w:jc w:val="both"/>
        <w:rPr/>
      </w:pPr>
      <w:r>
        <w:rPr>
          <w:rFonts w:ascii="Arial;sans-serif" w:hAnsi="Arial;sans-serif"/>
          <w:b w:val="false"/>
          <w:color w:val="000000"/>
          <w:sz w:val="20"/>
        </w:rPr>
        <w:t xml:space="preserve">Interest expense for the 26-week period ended June 28, 2026 decreased </w:t>
      </w:r>
      <w:r>
        <w:rPr>
          <w:rFonts w:ascii="Arial;sans-serif" w:hAnsi="Arial;sans-serif"/>
          <w:b w:val="false"/>
          <w:color w:val="000000"/>
          <w:sz w:val="20"/>
          <w:shd w:fill="FFFFFF" w:val="clear"/>
        </w:rPr>
        <w:t>$11.0 million</w:t>
      </w:r>
      <w:r>
        <w:rPr>
          <w:rFonts w:ascii="Arial;sans-serif" w:hAnsi="Arial;sans-serif"/>
          <w:b w:val="false"/>
          <w:color w:val="000000"/>
          <w:sz w:val="20"/>
        </w:rPr>
        <w:t xml:space="preserve">, or 37.7%, to </w:t>
      </w:r>
      <w:r>
        <w:rPr>
          <w:rFonts w:ascii="Arial;sans-serif" w:hAnsi="Arial;sans-serif"/>
          <w:b w:val="false"/>
          <w:color w:val="000000"/>
          <w:sz w:val="20"/>
          <w:shd w:fill="FFFFFF" w:val="clear"/>
        </w:rPr>
        <w:t>$18.1 million</w:t>
      </w:r>
      <w:r>
        <w:rPr>
          <w:rFonts w:ascii="Arial;sans-serif" w:hAnsi="Arial;sans-serif"/>
          <w:b w:val="false"/>
          <w:color w:val="000000"/>
          <w:sz w:val="20"/>
        </w:rPr>
        <w:t>, as compared to $29.1 million for the 26-week period ended June 29, 2025. The decrease was primarily attributable to lower interest expense on outstanding debt due to a decrease in our debt balance as well as the favorable impact of the interest rate collar, which resulted in recognized interest income of $2.9 million and interest expense of $5.2 million related to the interest rate collar for 26-week periods ended June 28, 2026 and June 29,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Income before Income Taxes</w:t>
      </w:r>
    </w:p>
    <w:p>
      <w:pPr>
        <w:pStyle w:val="TextBody"/>
        <w:bidi w:val="0"/>
        <w:spacing w:lineRule="auto" w:line="288" w:before="0" w:after="240"/>
        <w:jc w:val="both"/>
        <w:rPr/>
      </w:pPr>
      <w:r>
        <w:rPr>
          <w:rFonts w:ascii="Arial;sans-serif" w:hAnsi="Arial;sans-serif"/>
          <w:b w:val="false"/>
          <w:color w:val="000000"/>
          <w:sz w:val="20"/>
        </w:rPr>
        <w:t xml:space="preserve">As a result of factors described above, we recognized </w:t>
      </w:r>
      <w:r>
        <w:rPr>
          <w:rFonts w:ascii="Arial;sans-serif" w:hAnsi="Arial;sans-serif"/>
          <w:b w:val="false"/>
          <w:color w:val="000000"/>
          <w:sz w:val="20"/>
          <w:shd w:fill="FFFFFF" w:val="clear"/>
        </w:rPr>
        <w:t>$5.5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$18.3 million</w:t>
      </w:r>
      <w:r>
        <w:rPr>
          <w:color w:val="000000"/>
        </w:rPr>
        <w:t xml:space="preserve"> </w:t>
      </w:r>
      <w:r>
        <w:rPr>
          <w:rFonts w:ascii="Arial;sans-serif" w:hAnsi="Arial;sans-serif"/>
          <w:b w:val="false"/>
          <w:color w:val="000000"/>
          <w:sz w:val="20"/>
        </w:rPr>
        <w:t>of income before income taxes for the 26-week periods ended June 28, 2026 and June 29, 2025, respectively.</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Income Tax Expense </w:t>
      </w:r>
    </w:p>
    <w:p>
      <w:pPr>
        <w:pStyle w:val="TextBody"/>
        <w:bidi w:val="0"/>
        <w:spacing w:lineRule="auto" w:line="288" w:before="0" w:after="240"/>
        <w:jc w:val="both"/>
        <w:rPr/>
      </w:pPr>
      <w:r>
        <w:rPr>
          <w:rFonts w:ascii="Arial;sans-serif" w:hAnsi="Arial;sans-serif"/>
          <w:b w:val="false"/>
          <w:color w:val="000000"/>
          <w:sz w:val="20"/>
        </w:rPr>
        <w:t xml:space="preserve">Income tax expense for the 26-week period ended June 28, 2026 was </w:t>
      </w:r>
      <w:r>
        <w:rPr>
          <w:rFonts w:ascii="Arial;sans-serif" w:hAnsi="Arial;sans-serif"/>
          <w:b w:val="false"/>
          <w:color w:val="000000"/>
          <w:sz w:val="20"/>
          <w:shd w:fill="FFFFFF" w:val="clear"/>
        </w:rPr>
        <w:t>$0.7 million</w:t>
      </w:r>
      <w:r>
        <w:rPr>
          <w:rFonts w:ascii="Arial;sans-serif" w:hAnsi="Arial;sans-serif"/>
          <w:b w:val="false"/>
          <w:color w:val="000000"/>
          <w:sz w:val="20"/>
        </w:rPr>
        <w:t xml:space="preserve">, as compared to income tax expense of </w:t>
      </w:r>
      <w:r>
        <w:rPr>
          <w:rFonts w:ascii="Arial;sans-serif" w:hAnsi="Arial;sans-serif"/>
          <w:b w:val="false"/>
          <w:color w:val="000000"/>
          <w:sz w:val="20"/>
          <w:shd w:fill="FFFFFF" w:val="clear"/>
        </w:rPr>
        <w:t>$4.6 million</w:t>
      </w:r>
      <w:r>
        <w:rPr>
          <w:color w:val="000000"/>
        </w:rPr>
        <w:t xml:space="preserve"> </w:t>
      </w:r>
      <w:r>
        <w:rPr>
          <w:rFonts w:ascii="Arial;sans-serif" w:hAnsi="Arial;sans-serif"/>
          <w:b w:val="false"/>
          <w:color w:val="000000"/>
          <w:sz w:val="20"/>
        </w:rPr>
        <w:t>for the 26-week period ended June 29, 2025. Our effective tax rate for the 26-week period ended June 28, 2026 was 12.3%. The difference between the effective tax rate for the 26-week period ended June 28, 2026 and the federal statutory rate was due to permanent differences related to changes in fair value of the warrant and earn-out liabilities recognized during the period, state taxes, the impact of foreign taxes in higher tax rate jurisdictions. The effective tax rate for the 26-week period ended June 29, 2025 was 25.1%. The difference between the effective tax rate and the federal statutory rate in 2025 was due to federal research and development tax credits, the impact of foreign taxes in higher tax rate jurisdictions and excess tax deficiencies from share based compensation recognized during the period.</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 xml:space="preserve">Net Income and Total Comprehensive Income </w:t>
      </w:r>
    </w:p>
    <w:p>
      <w:pPr>
        <w:pStyle w:val="TextBody"/>
        <w:bidi w:val="0"/>
        <w:spacing w:lineRule="auto" w:line="288" w:before="0" w:after="240"/>
        <w:jc w:val="both"/>
        <w:rPr/>
      </w:pPr>
      <w:r>
        <w:rPr>
          <w:rFonts w:ascii="Arial;sans-serif" w:hAnsi="Arial;sans-serif"/>
          <w:b w:val="false"/>
          <w:color w:val="000000"/>
          <w:sz w:val="20"/>
        </w:rPr>
        <w:t xml:space="preserve">As a result of factors described above, we recognized net income of </w:t>
      </w:r>
      <w:r>
        <w:rPr>
          <w:rFonts w:ascii="Arial;sans-serif" w:hAnsi="Arial;sans-serif"/>
          <w:b w:val="false"/>
          <w:color w:val="000000"/>
          <w:sz w:val="20"/>
          <w:shd w:fill="FFFFFF" w:val="clear"/>
        </w:rPr>
        <w:t>$4.8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20"/>
          <w:shd w:fill="FFFFFF" w:val="clear"/>
        </w:rPr>
        <w:t>$13.7 million</w:t>
      </w:r>
      <w:r>
        <w:rPr>
          <w:color w:val="000000"/>
        </w:rPr>
        <w:t xml:space="preserve"> </w:t>
      </w:r>
      <w:r>
        <w:rPr>
          <w:rFonts w:ascii="Arial;sans-serif" w:hAnsi="Arial;sans-serif"/>
          <w:b w:val="false"/>
          <w:color w:val="000000"/>
          <w:sz w:val="20"/>
        </w:rPr>
        <w:t xml:space="preserve">for the 26-week periods ended June 28, 2026 and June 29, 2025, respectively. Additionally, we recognized total comprehensive income of </w:t>
      </w:r>
      <w:r>
        <w:rPr>
          <w:rFonts w:ascii="Arial;sans-serif" w:hAnsi="Arial;sans-serif"/>
          <w:b w:val="false"/>
          <w:color w:val="000000"/>
          <w:sz w:val="20"/>
          <w:shd w:fill="FFFFFF" w:val="clear"/>
        </w:rPr>
        <w:t>$2.0 million</w:t>
      </w:r>
      <w:r>
        <w:rPr>
          <w:color w:val="000000"/>
        </w:rPr>
        <w:t xml:space="preserve"> </w:t>
      </w:r>
      <w:r>
        <w:rPr>
          <w:rFonts w:ascii="Arial;sans-serif" w:hAnsi="Arial;sans-serif"/>
          <w:b w:val="false"/>
          <w:color w:val="000000"/>
          <w:sz w:val="20"/>
        </w:rPr>
        <w:t xml:space="preserve">for the 26-week period ended June 28, 2026, as compared to total comprehensive income of </w:t>
      </w:r>
      <w:r>
        <w:rPr>
          <w:rFonts w:ascii="Arial;sans-serif" w:hAnsi="Arial;sans-serif"/>
          <w:b w:val="false"/>
          <w:color w:val="000000"/>
          <w:sz w:val="20"/>
          <w:shd w:fill="FFFFFF" w:val="clear"/>
        </w:rPr>
        <w:t>$14.6 million</w:t>
      </w:r>
      <w:r>
        <w:rPr>
          <w:color w:val="000000"/>
        </w:rPr>
        <w:t xml:space="preserve"> </w:t>
      </w:r>
      <w:r>
        <w:rPr>
          <w:rFonts w:ascii="Arial;sans-serif" w:hAnsi="Arial;sans-serif"/>
          <w:b w:val="false"/>
          <w:color w:val="000000"/>
          <w:sz w:val="20"/>
        </w:rPr>
        <w:t>for the 26-week period ended June 29, 2025. Comprehensive income includes the effect of foreign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present certain information with respect to EBITDA, Adjusted EBITDA, Adjusted EBITDA Margin, Adjusted Net Income, Adjusted Diluted EPS, and Free Cash Flow as supplemental measures of our operating performance and believe that such non-GAAP financial measures provide useful information to investors, because they exclude the impact of certain items that we do not consider indicative of our ongoing operating performance and we believe are useful in comparing our results of operations between periods. We believe that the presentation of such non-GAAP measures enhance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EBITDA, Adjusted EBITDA, Adjusted EBITDA Margin, Adjusted Net Income, Adjusted Diluted EPS, and Free Cash Flow are not prepared in accordance with U.S. GAAP and may be different from non-GAAP financial measures used by other companies. These measures should not be considered as measures of financial performance under U.S.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U.S. GAAP.</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Adjusted EBITDA</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We define EBITDA as earnings before depreciation, amortization of intangible assets, interest expense, and income tax expense. We define Adjusted EBITDA as EBITDA adjusted to exclude, to the extent applicable, acquisition and restructuring costs, which includes operational restructuring and integration activities, termination related benefits, facilities relocation, and executive transition costs; changes in the fair value of the warrant liability; changes in the fair value of the earn-out liability; equity-based compensation expense; notable items that we do not believe are reflective of our underlying operating performance, including litigation settlements, transformative consulting fees and certain costs incurred for advisory services related to identifying performance initiatives; and other expenses or gains, which includes gains or losses from disposal of fixed assets, franchise taxes, and gains or losses from foreign currency transactions. In addition, beginning with the quarter ended June 28, 2026, the Company has excluded from Adjusted EBITDA any tariff refund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received in the quarter, as the refunds are non-recurring in nature for tariff costs incurred in the past and are not reflective of the Company's ongoing performance, such refunds are included in other operating income. We define Adjusted EBITDA Margin as Adjusted EBITDA divided by net sales.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unaudited table presents the reconciliation of net income, the most directly comparable GAAP measure, to EBITDA, Adjusted EBITDA, and Adjusted EBITDA Margin for the 13-week and 26-week periods ended June 28, 2026 and June 29, 2025 (dollars in thousands):</w:t>
      </w:r>
    </w:p>
    <w:tbl>
      <w:tblPr>
        <w:tblW w:w="9992" w:type="dxa"/>
        <w:jc w:val="center"/>
        <w:tblInd w:w="0" w:type="dxa"/>
        <w:tblLayout w:type="fixed"/>
        <w:tblCellMar>
          <w:top w:w="28" w:type="dxa"/>
          <w:left w:w="28" w:type="dxa"/>
          <w:bottom w:w="28" w:type="dxa"/>
          <w:right w:w="28" w:type="dxa"/>
        </w:tblCellMar>
      </w:tblPr>
      <w:tblGrid>
        <w:gridCol w:w="1265"/>
        <w:gridCol w:w="1112"/>
        <w:gridCol w:w="1117"/>
        <w:gridCol w:w="211"/>
        <w:gridCol w:w="856"/>
        <w:gridCol w:w="346"/>
        <w:gridCol w:w="109"/>
        <w:gridCol w:w="109"/>
        <w:gridCol w:w="109"/>
        <w:gridCol w:w="211"/>
        <w:gridCol w:w="856"/>
        <w:gridCol w:w="286"/>
        <w:gridCol w:w="109"/>
        <w:gridCol w:w="109"/>
        <w:gridCol w:w="109"/>
        <w:gridCol w:w="211"/>
        <w:gridCol w:w="856"/>
        <w:gridCol w:w="286"/>
        <w:gridCol w:w="109"/>
        <w:gridCol w:w="109"/>
        <w:gridCol w:w="109"/>
        <w:gridCol w:w="211"/>
        <w:gridCol w:w="856"/>
        <w:gridCol w:w="331"/>
      </w:tblGrid>
      <w:tr>
        <w:trPr/>
        <w:tc>
          <w:tcPr>
            <w:tcW w:w="126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(2,430)</w:t>
            </w:r>
          </w:p>
        </w:tc>
        <w:tc>
          <w:tcPr>
            <w:tcW w:w="34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10,863 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4,826 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13,680 </w:t>
            </w:r>
          </w:p>
        </w:tc>
        <w:tc>
          <w:tcPr>
            <w:tcW w:w="33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6,882 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8,201 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10,638 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33,305 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35,642 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58,737 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warrant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earn-out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on sale of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28,259 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Equity-based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Notable items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(income)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(8,903)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(9,341)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33,754 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36,428 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61,074 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63,715 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172,007 </w:t>
            </w:r>
          </w:p>
        </w:tc>
        <w:tc>
          <w:tcPr>
            <w:tcW w:w="34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166,661 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319,337 </w:t>
            </w:r>
          </w:p>
        </w:tc>
        <w:tc>
          <w:tcPr>
            <w:tcW w:w="28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319,705 </w:t>
            </w:r>
          </w:p>
        </w:tc>
        <w:tc>
          <w:tcPr>
            <w:tcW w:w="3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3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Adjusted Net Income and Adjusted Diluted EPS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define Adjusted Net Income as earnings excluding the effect of changes in the fair value of the warrant liability, changes in the fair value of the earn-out liability, impairment of goodwill and indefinite-lived intangible assets, loss on sale of assets, and gain or loss on the early extinguishment of debt. We define Adjusted Diluted EPS as Adjusted Net Income on a per share basis. Management uses 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unaudited tables present the reconciliation of net income and net income per diluted share, the most directly comparable GAAP measures, to Adjusted Net Income and Adjusted Diluted EPS for the 13-week and 26-week periods ended June 28, 2026 and June 29, 2025 (dollars in thousands):</w:t>
      </w:r>
    </w:p>
    <w:tbl>
      <w:tblPr>
        <w:tblW w:w="10205" w:type="dxa"/>
        <w:jc w:val="center"/>
        <w:tblInd w:w="0" w:type="dxa"/>
        <w:tblLayout w:type="fixed"/>
        <w:tblCellMar>
          <w:top w:w="28" w:type="dxa"/>
          <w:left w:w="28" w:type="dxa"/>
          <w:bottom w:w="28" w:type="dxa"/>
          <w:right w:w="28" w:type="dxa"/>
        </w:tblCellMar>
      </w:tblPr>
      <w:tblGrid>
        <w:gridCol w:w="1437"/>
        <w:gridCol w:w="1245"/>
        <w:gridCol w:w="1251"/>
        <w:gridCol w:w="255"/>
        <w:gridCol w:w="909"/>
        <w:gridCol w:w="131"/>
        <w:gridCol w:w="114"/>
        <w:gridCol w:w="114"/>
        <w:gridCol w:w="114"/>
        <w:gridCol w:w="255"/>
        <w:gridCol w:w="909"/>
        <w:gridCol w:w="131"/>
        <w:gridCol w:w="109"/>
        <w:gridCol w:w="109"/>
        <w:gridCol w:w="109"/>
        <w:gridCol w:w="255"/>
        <w:gridCol w:w="909"/>
        <w:gridCol w:w="131"/>
        <w:gridCol w:w="123"/>
        <w:gridCol w:w="123"/>
        <w:gridCol w:w="123"/>
        <w:gridCol w:w="253"/>
        <w:gridCol w:w="903"/>
        <w:gridCol w:w="193"/>
      </w:tblGrid>
      <w:tr>
        <w:trPr/>
        <w:tc>
          <w:tcPr>
            <w:tcW w:w="143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4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5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(2,430)</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10,863 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4,826 </w:t>
            </w:r>
          </w:p>
        </w:tc>
        <w:tc>
          <w:tcPr>
            <w:tcW w:w="13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13,680 </w:t>
            </w:r>
          </w:p>
        </w:tc>
        <w:tc>
          <w:tcPr>
            <w:tcW w:w="19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Special items: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 for: Change in fair value of warrant liability</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 for: Change in fair value of earn-out liability</w:t>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 for: Loss on sale of assets</w:t>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Net Income</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24,023 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10,637 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29,699 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13,196 </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9"/>
        <w:gridCol w:w="1247"/>
        <w:gridCol w:w="1252"/>
        <w:gridCol w:w="291"/>
        <w:gridCol w:w="824"/>
        <w:gridCol w:w="150"/>
        <w:gridCol w:w="131"/>
        <w:gridCol w:w="131"/>
        <w:gridCol w:w="131"/>
        <w:gridCol w:w="310"/>
        <w:gridCol w:w="796"/>
        <w:gridCol w:w="159"/>
        <w:gridCol w:w="109"/>
        <w:gridCol w:w="109"/>
        <w:gridCol w:w="109"/>
        <w:gridCol w:w="310"/>
        <w:gridCol w:w="796"/>
        <w:gridCol w:w="159"/>
        <w:gridCol w:w="144"/>
        <w:gridCol w:w="144"/>
        <w:gridCol w:w="144"/>
        <w:gridCol w:w="305"/>
        <w:gridCol w:w="783"/>
        <w:gridCol w:w="232"/>
      </w:tblGrid>
      <w:tr>
        <w:trPr/>
        <w:tc>
          <w:tcPr>
            <w:tcW w:w="14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9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43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per diluted share</w:t>
            </w:r>
          </w:p>
        </w:tc>
        <w:tc>
          <w:tcPr>
            <w:tcW w:w="2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23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Special items: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 for: Change in fair value of warrant liability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 for: Change in fair value of earn-out liability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 for: Loss on sales of assets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Diluted EPS</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0.20 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0.25 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0.11 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Free Cash Flow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unaudited table presents the reconciliation of net cash provided by operating activities, the most directly comparable GAAP measure, to Free Cash Flow for the 13-week and 26-week periods ended June 28, 2026 and June 29, 2025 (dollars in thousands):</w:t>
      </w:r>
    </w:p>
    <w:tbl>
      <w:tblPr>
        <w:tblW w:w="10095" w:type="dxa"/>
        <w:jc w:val="center"/>
        <w:tblInd w:w="0" w:type="dxa"/>
        <w:tblLayout w:type="fixed"/>
        <w:tblCellMar>
          <w:top w:w="28" w:type="dxa"/>
          <w:left w:w="28" w:type="dxa"/>
          <w:bottom w:w="28" w:type="dxa"/>
          <w:right w:w="28" w:type="dxa"/>
        </w:tblCellMar>
      </w:tblPr>
      <w:tblGrid>
        <w:gridCol w:w="1326"/>
        <w:gridCol w:w="1163"/>
        <w:gridCol w:w="1171"/>
        <w:gridCol w:w="263"/>
        <w:gridCol w:w="937"/>
        <w:gridCol w:w="135"/>
        <w:gridCol w:w="115"/>
        <w:gridCol w:w="115"/>
        <w:gridCol w:w="115"/>
        <w:gridCol w:w="263"/>
        <w:gridCol w:w="937"/>
        <w:gridCol w:w="135"/>
        <w:gridCol w:w="109"/>
        <w:gridCol w:w="109"/>
        <w:gridCol w:w="109"/>
        <w:gridCol w:w="263"/>
        <w:gridCol w:w="937"/>
        <w:gridCol w:w="135"/>
        <w:gridCol w:w="126"/>
        <w:gridCol w:w="126"/>
        <w:gridCol w:w="126"/>
        <w:gridCol w:w="261"/>
        <w:gridCol w:w="929"/>
        <w:gridCol w:w="190"/>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4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47,111 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40,487 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44,254 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32,637 </w:t>
            </w:r>
          </w:p>
        </w:tc>
        <w:tc>
          <w:tcPr>
            <w:tcW w:w="19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(4,828)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(9,640)</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(7,808)</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40,942 </w:t>
            </w:r>
          </w:p>
        </w:tc>
        <w:tc>
          <w:tcPr>
            <w:tcW w:w="1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35,659 </w:t>
            </w:r>
          </w:p>
        </w:tc>
        <w:tc>
          <w:tcPr>
            <w:tcW w:w="1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34,614 </w:t>
            </w:r>
          </w:p>
        </w:tc>
        <w:tc>
          <w:tcPr>
            <w:tcW w:w="13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24,829 </w:t>
            </w:r>
          </w:p>
        </w:tc>
        <w:tc>
          <w:tcPr>
            <w:tcW w:w="19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products, investments made in acquired businesses, plant and equipment and other capital expenditures, and expenditures on general infrastructure and information technology.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June 28, 2026, the Company had cash of $69.0 million and availability of $97.5 million under its $100.0 million senior secured revolving credit facility. As of June 28, 2026, the Company had $2.5 million in letters of credit outstanding under the revolving credit facility. On July 13, 2026, the Company repaid $15.0 million on the outstanding principal of its first lien term loan facility.</w:t>
      </w:r>
    </w:p>
    <w:p>
      <w:pPr>
        <w:pStyle w:val="TextBody"/>
        <w:bidi w:val="0"/>
        <w:spacing w:lineRule="auto" w:line="288" w:before="0" w:after="240"/>
        <w:jc w:val="both"/>
        <w:rPr/>
      </w:pPr>
      <w:r>
        <w:rPr>
          <w:rFonts w:ascii="Arial;sans-serif" w:hAnsi="Arial;sans-serif"/>
          <w:b w:val="false"/>
          <w:color w:val="000000"/>
          <w:sz w:val="20"/>
        </w:rPr>
        <w:t>On March 18, 2026, the Company acquired HRX S.r.l., an Italian motorsports racewear brand, for a purchase price funded through a combination of borrowings under the Company's revolving credit facility and cash on hand. The acquisition impacted the Company's liquidity position as reflected in the June 28, 2026 cash and revolver balances noted above. The Company believes its existing cash balances, together with availability under its revolving credit facility, will be sufficient to fund its operating requirements, capital expenditures, and debt service obligations for the foreseeable future. See Note 2, "</w:t>
      </w:r>
      <w:r>
        <w:rPr>
          <w:rFonts w:ascii="Arial;sans-serif" w:hAnsi="Arial;sans-serif"/>
          <w:b w:val="false"/>
          <w:i/>
          <w:color w:val="000000"/>
          <w:sz w:val="20"/>
        </w:rPr>
        <w:t>Acquisition and Divestitures</w:t>
      </w:r>
      <w:r>
        <w:rPr>
          <w:rFonts w:ascii="Arial;sans-serif" w:hAnsi="Arial;sans-serif"/>
          <w:b w:val="false"/>
          <w:color w:val="000000"/>
          <w:sz w:val="20"/>
        </w:rPr>
        <w:t>" in the Notes to the condensed consolidated financial statements included elsewhere in this Quarterly Report on Form 10-Q for additional information related to the Company’s acquisition of HRX.</w:t>
      </w:r>
    </w:p>
    <w:p>
      <w:pPr>
        <w:pStyle w:val="TextBody"/>
        <w:bidi w:val="0"/>
        <w:spacing w:lineRule="auto" w:line="288" w:before="0" w:after="240"/>
        <w:jc w:val="both"/>
        <w:rPr/>
      </w:pPr>
      <w:r>
        <w:rPr>
          <w:rFonts w:ascii="Arial;sans-serif" w:hAnsi="Arial;sans-serif"/>
          <w:b w:val="false"/>
          <w:color w:val="000000"/>
          <w:sz w:val="20"/>
        </w:rPr>
        <w:t>The Company is obligated under various operating leases for facilities, equipment and automobiles with estimated lease payments of approximately $4.6 million, including short term leases, due during the remainder of fiscal year 2026. See Note 16, "</w:t>
      </w:r>
      <w:r>
        <w:rPr>
          <w:rFonts w:ascii="Arial;sans-serif" w:hAnsi="Arial;sans-serif"/>
          <w:b w:val="false"/>
          <w:i/>
          <w:color w:val="000000"/>
          <w:sz w:val="20"/>
        </w:rPr>
        <w:t>Lease</w:t>
      </w:r>
      <w:r>
        <w:rPr>
          <w:color w:val="000000"/>
        </w:rPr>
        <w:t xml:space="preserve"> </w:t>
      </w:r>
      <w:r>
        <w:rPr>
          <w:rFonts w:ascii="Arial;sans-serif" w:hAnsi="Arial;sans-serif"/>
          <w:b w:val="false"/>
          <w:i/>
          <w:color w:val="000000"/>
          <w:sz w:val="20"/>
        </w:rPr>
        <w:t>Commitments</w:t>
      </w:r>
      <w:r>
        <w:rPr>
          <w:rFonts w:ascii="Arial;sans-serif" w:hAnsi="Arial;sans-serif"/>
          <w:b w:val="false"/>
          <w:color w:val="000000"/>
          <w:sz w:val="20"/>
        </w:rPr>
        <w:t>" in the Notes to the condensed consolidated financial statements included elsewhere in this Quarterly Report on Form 10-Q for additional information related to the Company’s lease obligations.</w:t>
      </w:r>
    </w:p>
    <w:p>
      <w:pPr>
        <w:pStyle w:val="TextBody"/>
        <w:bidi w:val="0"/>
        <w:spacing w:lineRule="auto" w:line="288" w:before="0" w:after="240"/>
        <w:jc w:val="both"/>
        <w:rPr/>
      </w:pPr>
      <w:r>
        <w:rPr>
          <w:rFonts w:ascii="Arial;sans-serif" w:hAnsi="Arial;sans-serif"/>
          <w:b w:val="false"/>
          <w:color w:val="000000"/>
          <w:sz w:val="20"/>
        </w:rPr>
        <w:t>See Note 7, "</w:t>
      </w:r>
      <w:r>
        <w:rPr>
          <w:rFonts w:ascii="Arial;sans-serif" w:hAnsi="Arial;sans-serif"/>
          <w:b w:val="false"/>
          <w:i/>
          <w:color w:val="000000"/>
          <w:sz w:val="20"/>
        </w:rPr>
        <w:t>Debt</w:t>
      </w:r>
      <w:r>
        <w:rPr>
          <w:rFonts w:ascii="Arial;sans-serif" w:hAnsi="Arial;sans-serif"/>
          <w:b w:val="false"/>
          <w:color w:val="000000"/>
          <w:sz w:val="20"/>
        </w:rPr>
        <w:t xml:space="preserve">" in the Notes to the condensed consolidated financial statements included in this Quarterly Report on Form 10-Q for further detail of our credit facility and the timing of principal maturities. As of June 28, 2026, based on the then current weighted average interest rate of 7.5%, expected interest payments associated with outstanding debt totaled approximately $20.4 million for the remainder of fiscal year 2026. </w:t>
      </w:r>
    </w:p>
    <w:p>
      <w:pPr>
        <w:pStyle w:val="TextBody"/>
        <w:bidi w:val="0"/>
        <w:spacing w:lineRule="auto" w:line="288" w:before="0" w:after="240"/>
        <w:jc w:val="both"/>
        <w:rPr/>
      </w:pPr>
      <w:r>
        <w:rPr>
          <w:rFonts w:ascii="Arial;sans-serif" w:hAnsi="Arial;sans-serif"/>
          <w:b w:val="false"/>
          <w:color w:val="000000"/>
          <w:sz w:val="20"/>
        </w:rPr>
        <w:t>See Note 15, "</w:t>
      </w:r>
      <w:r>
        <w:rPr>
          <w:rFonts w:ascii="Arial;sans-serif" w:hAnsi="Arial;sans-serif"/>
          <w:b w:val="false"/>
          <w:i/>
          <w:color w:val="000000"/>
          <w:sz w:val="20"/>
        </w:rPr>
        <w:t>Share Repurchase Program</w:t>
      </w:r>
      <w:r>
        <w:rPr>
          <w:rFonts w:ascii="Arial;sans-serif" w:hAnsi="Arial;sans-serif"/>
          <w:b w:val="false"/>
          <w:color w:val="000000"/>
          <w:sz w:val="20"/>
        </w:rPr>
        <w:t>" in the Notes to the condensed consolidated financial statements included in this Quarterly Report on Form 10-Q for further detail of our share repurchase program. As of June 28, 2026, we had approximately $23.0 million remaining under the share repurchase program. The share repurchase plan does not require us to repurchase any specific number of shares, and we may terminate the repurchase plan at any time.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discussed under “Business Environment” above, although the future impact of supply chain disruptions and inflationary pressures are highly uncertain, we believe that cash generated through our current operating performance, and our operating plans, cash position, and borrowings available under our revolving credit facility, will be sufficient to satisfy our liquidity needs and capital expenditure requirements for the next 12 months and thereafter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table provides a summary of cash flows from operating, investing, and financing activities for the periods presented (dollars in thousands):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26-week period ended June 28, 2026 Compared With 26-week period ended June 29, 2025</w:t>
      </w:r>
    </w:p>
    <w:tbl>
      <w:tblPr>
        <w:tblW w:w="7622" w:type="dxa"/>
        <w:jc w:val="left"/>
        <w:tblInd w:w="0" w:type="dxa"/>
        <w:tblLayout w:type="fixed"/>
        <w:tblCellMar>
          <w:top w:w="28" w:type="dxa"/>
          <w:left w:w="28" w:type="dxa"/>
          <w:bottom w:w="28" w:type="dxa"/>
          <w:right w:w="28" w:type="dxa"/>
        </w:tblCellMar>
      </w:tblPr>
      <w:tblGrid>
        <w:gridCol w:w="1642"/>
        <w:gridCol w:w="1439"/>
        <w:gridCol w:w="1448"/>
        <w:gridCol w:w="263"/>
        <w:gridCol w:w="937"/>
        <w:gridCol w:w="135"/>
        <w:gridCol w:w="126"/>
        <w:gridCol w:w="126"/>
        <w:gridCol w:w="126"/>
        <w:gridCol w:w="261"/>
        <w:gridCol w:w="929"/>
        <w:gridCol w:w="190"/>
      </w:tblGrid>
      <w:tr>
        <w:trPr/>
        <w:tc>
          <w:tcPr>
            <w:tcW w:w="164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For the twenty-six weeks ended</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28, 2026</w:t>
            </w:r>
          </w:p>
        </w:tc>
        <w:tc>
          <w:tcPr>
            <w:tcW w:w="37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June 29, 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flows provided by operating activities</w:t>
            </w:r>
          </w:p>
        </w:tc>
        <w:tc>
          <w:tcPr>
            <w:tcW w:w="2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44,254 </w:t>
            </w:r>
          </w:p>
        </w:tc>
        <w:tc>
          <w:tcPr>
            <w:tcW w:w="13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32,637 </w:t>
            </w:r>
          </w:p>
        </w:tc>
        <w:tc>
          <w:tcPr>
            <w:tcW w:w="19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flows used in investing activities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(20,898)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flows used in financing activities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foreign currency rate fluctuations on cash</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31,789 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7,755 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pPr>
      <w:r>
        <w:rPr>
          <w:rFonts w:ascii="Arial;sans-serif" w:hAnsi="Arial;sans-serif"/>
          <w:b w:val="false"/>
          <w:i/>
          <w:color w:val="000000"/>
          <w:sz w:val="20"/>
          <w:shd w:fill="FFFFFF" w:val="clear"/>
        </w:rPr>
        <w:t>Operating Activities</w:t>
      </w:r>
      <w:r>
        <w:rPr>
          <w:rFonts w:ascii="Arial;sans-serif" w:hAnsi="Arial;sans-serif"/>
          <w:b w:val="false"/>
          <w:color w:val="000000"/>
          <w:sz w:val="20"/>
          <w:shd w:fill="FFFFFF" w:val="clear"/>
        </w:rPr>
        <w:t>. Net cash provided by operating activities for the 26-week period ended June 28, 2026 was $44.3 million</w:t>
      </w:r>
      <w:r>
        <w:rPr>
          <w:color w:val="000000"/>
        </w:rPr>
        <w:t xml:space="preserve"> </w:t>
      </w:r>
      <w:r>
        <w:rPr>
          <w:rFonts w:ascii="Arial;sans-serif" w:hAnsi="Arial;sans-serif"/>
          <w:b w:val="false"/>
          <w:color w:val="000000"/>
          <w:sz w:val="20"/>
        </w:rPr>
        <w:t>compared to net cash provided by operating activities of $32.6 million for the 26-week period ended June 29, 2025. Cash provided by operating activities included, but not limited to, positive fluctuations from accounts receivable, inventory, accrued and other liabilities, and accrued interest of $12.1 million, $4.8 million, $2.5 million, and $3.3 million</w:t>
      </w:r>
      <w:r>
        <w:rPr>
          <w:rFonts w:ascii="Times New Roman;serif" w:hAnsi="Times New Roman;serif"/>
          <w:b w:val="false"/>
          <w:color w:val="000000"/>
          <w:sz w:val="20"/>
        </w:rPr>
        <w:t xml:space="preserve">, </w:t>
      </w:r>
      <w:r>
        <w:rPr>
          <w:rFonts w:ascii="Arial;sans-serif" w:hAnsi="Arial;sans-serif"/>
          <w:b w:val="false"/>
          <w:color w:val="000000"/>
          <w:sz w:val="20"/>
        </w:rPr>
        <w:t>respectively. Partially offsetting the increase were negative fluctuations in prepaids and other assets and accounts payable of $16.0 million and $5.6 million, respectively.</w:t>
      </w:r>
    </w:p>
    <w:p>
      <w:pPr>
        <w:pStyle w:val="TextBody"/>
        <w:bidi w:val="0"/>
        <w:spacing w:lineRule="auto" w:line="288" w:before="0" w:after="240"/>
        <w:jc w:val="both"/>
        <w:rPr/>
      </w:pPr>
      <w:r>
        <w:rPr>
          <w:rFonts w:ascii="Arial;sans-serif" w:hAnsi="Arial;sans-serif"/>
          <w:b w:val="false"/>
          <w:i/>
          <w:color w:val="000000"/>
          <w:sz w:val="20"/>
        </w:rPr>
        <w:t>Investing Activities</w:t>
      </w:r>
      <w:r>
        <w:rPr>
          <w:rFonts w:ascii="Arial;sans-serif" w:hAnsi="Arial;sans-serif"/>
          <w:b w:val="false"/>
          <w:color w:val="000000"/>
          <w:sz w:val="20"/>
        </w:rPr>
        <w:t xml:space="preserve">. Net cash used in investing activities for the 26-week periods ended June 28, 2026 and </w:t>
      </w:r>
      <w:r>
        <w:rPr>
          <w:rFonts w:ascii="Arial;sans-serif" w:hAnsi="Arial;sans-serif"/>
          <w:b w:val="false"/>
          <w:color w:val="000000"/>
          <w:sz w:val="20"/>
          <w:shd w:fill="FFFFFF" w:val="clear"/>
        </w:rPr>
        <w:t xml:space="preserve">June 29, 2025 was </w:t>
      </w:r>
      <w:r>
        <w:rPr>
          <w:rFonts w:ascii="Arial;sans-serif" w:hAnsi="Arial;sans-serif"/>
          <w:b w:val="false"/>
          <w:color w:val="000000"/>
          <w:sz w:val="20"/>
        </w:rPr>
        <w:t>$6.0 million</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$20.9 million, respectively, primarily due to the cash payments related to the HRX acquisition in March 2026, the acquisition of the perpetual license agreement with Cataclean in January 2025, and other capital expenditures.</w:t>
      </w:r>
    </w:p>
    <w:p>
      <w:pPr>
        <w:pStyle w:val="TextBody"/>
        <w:bidi w:val="0"/>
        <w:spacing w:lineRule="auto" w:line="288" w:before="0" w:after="240"/>
        <w:jc w:val="both"/>
        <w:rPr/>
      </w:pPr>
      <w:r>
        <w:rPr>
          <w:rFonts w:ascii="Arial;sans-serif" w:hAnsi="Arial;sans-serif"/>
          <w:b w:val="false"/>
          <w:i/>
          <w:color w:val="000000"/>
          <w:sz w:val="20"/>
          <w:shd w:fill="FFFFFF" w:val="clear"/>
        </w:rPr>
        <w:t>Financing Activities</w:t>
      </w:r>
      <w:r>
        <w:rPr>
          <w:rFonts w:ascii="Arial;sans-serif" w:hAnsi="Arial;sans-serif"/>
          <w:b w:val="false"/>
          <w:color w:val="000000"/>
          <w:sz w:val="20"/>
          <w:shd w:fill="FFFFFF" w:val="clear"/>
        </w:rPr>
        <w:t xml:space="preserve">. Net cash used in financing activities for the </w:t>
      </w:r>
      <w:r>
        <w:rPr>
          <w:rFonts w:ascii="Arial;sans-serif" w:hAnsi="Arial;sans-serif"/>
          <w:b w:val="false"/>
          <w:color w:val="000000"/>
          <w:sz w:val="20"/>
        </w:rPr>
        <w:t>26-week periods ended June 28, 2026 was $6.1 million</w:t>
      </w:r>
      <w:r>
        <w:rPr>
          <w:rFonts w:ascii="Arial;sans-serif" w:hAnsi="Arial;sans-serif"/>
          <w:b w:val="false"/>
          <w:color w:val="000000"/>
          <w:sz w:val="20"/>
          <w:shd w:fill="FFFFFF" w:val="clear"/>
        </w:rPr>
        <w:t xml:space="preserve">, which primarily reflects </w:t>
      </w:r>
      <w:r>
        <w:rPr>
          <w:rFonts w:ascii="Arial;sans-serif" w:hAnsi="Arial;sans-serif"/>
          <w:b w:val="false"/>
          <w:color w:val="000000"/>
          <w:sz w:val="20"/>
        </w:rPr>
        <w:t>$1.6 million of</w:t>
      </w:r>
      <w:r>
        <w:rPr>
          <w:color w:val="000000"/>
          <w:shd w:fill="FFFFFF" w:val="clear"/>
        </w:rPr>
        <w:t xml:space="preserve"> </w:t>
      </w:r>
      <w:r>
        <w:rPr>
          <w:rFonts w:ascii="Arial;sans-serif" w:hAnsi="Arial;sans-serif"/>
          <w:b w:val="false"/>
          <w:color w:val="000000"/>
          <w:sz w:val="20"/>
          <w:shd w:fill="FFFFFF" w:val="clear"/>
        </w:rPr>
        <w:t xml:space="preserve">principal payments on long-term debt, </w:t>
      </w:r>
      <w:r>
        <w:rPr>
          <w:rFonts w:ascii="Arial;sans-serif" w:hAnsi="Arial;sans-serif"/>
          <w:b w:val="false"/>
          <w:color w:val="000000"/>
          <w:sz w:val="20"/>
        </w:rPr>
        <w:t xml:space="preserve">$2.5 million of </w:t>
      </w:r>
      <w:r>
        <w:rPr>
          <w:rFonts w:ascii="Arial;sans-serif" w:hAnsi="Arial;sans-serif"/>
          <w:b w:val="false"/>
          <w:color w:val="000000"/>
          <w:sz w:val="20"/>
          <w:shd w:fill="FFFFFF" w:val="clear"/>
        </w:rPr>
        <w:t xml:space="preserve">stock-based award activities and </w:t>
      </w:r>
      <w:r>
        <w:rPr>
          <w:rFonts w:ascii="Arial;sans-serif" w:hAnsi="Arial;sans-serif"/>
          <w:b w:val="false"/>
          <w:color w:val="000000"/>
          <w:sz w:val="20"/>
        </w:rPr>
        <w:t>$2.0 million of treasury stock purchases. Cash used in financing activities for the 26-week period ended June 29, 2025 was $4.5 million, which primarily reflects prepayments of principal of $3.6 million on the first lien term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240"/>
        <w:jc w:val="both"/>
        <w:rPr/>
      </w:pPr>
      <w:r>
        <w:rPr>
          <w:rFonts w:ascii="Arial;sans-serif" w:hAnsi="Arial;sans-serif"/>
          <w:b w:val="false"/>
          <w:color w:val="000000"/>
          <w:sz w:val="20"/>
        </w:rPr>
        <w:t>Our consolidated financial statements are prepared in accordance with GAAP. The preparation of these consolidated financial statements requires us to make estimates, judgments and assumptions that affect the reported amounts of assets, liabilities, sales, expenses and related disclosures. We evaluate our estimates, judgments and assumptions on an ongoing basis. Our estimates are based on historical experience and various other assumptions that we believe to be reasonable under the circumstances. Our actual results could differ from these estimates. For a discussion of our critical accounting estimates, refer to the section entitled “Critical Accounting Estimates” in our Annual Report on Form 10-K for the year ended December 31, 2025, as filed with the SEC on March 16, 2026. For further information see also Note 1, “</w:t>
      </w:r>
      <w:r>
        <w:rPr>
          <w:rFonts w:ascii="Arial;sans-serif" w:hAnsi="Arial;sans-serif"/>
          <w:b w:val="false"/>
          <w:i/>
          <w:color w:val="000000"/>
          <w:sz w:val="20"/>
        </w:rPr>
        <w:t>Description of the Business, Basis of Presentation, and Summary of Significant Accounting Policies</w:t>
      </w:r>
      <w:r>
        <w:rPr>
          <w:color w:val="000000"/>
        </w:rPr>
        <w:t xml:space="preserve">” </w:t>
      </w:r>
      <w:r>
        <w:rPr>
          <w:rFonts w:ascii="Arial;sans-serif" w:hAnsi="Arial;sans-serif"/>
          <w:b w:val="false"/>
          <w:color w:val="000000"/>
          <w:sz w:val="20"/>
        </w:rPr>
        <w:t>in the Notes to the condensed consolidated financial statements included in this Quarterly Report on Form 10-Q. There have been no material changes to the Company’s critical accounting estimates included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0" w:after="240"/>
        <w:jc w:val="both"/>
        <w:rPr/>
      </w:pPr>
      <w:r>
        <w:rPr>
          <w:rFonts w:ascii="Arial;sans-serif" w:hAnsi="Arial;sans-serif"/>
          <w:b w:val="false"/>
          <w:color w:val="000000"/>
          <w:sz w:val="20"/>
        </w:rPr>
        <w:t>For a discussion of Holley’s new or recently adopted accounting pronouncements, see Note 1, “</w:t>
      </w:r>
      <w:r>
        <w:rPr>
          <w:rFonts w:ascii="Arial;sans-serif" w:hAnsi="Arial;sans-serif"/>
          <w:b w:val="false"/>
          <w:i/>
          <w:color w:val="000000"/>
          <w:sz w:val="20"/>
        </w:rPr>
        <w:t>Description of the Business, Basis of Presentation, and Summary of Significant Accounting Policies</w:t>
      </w:r>
      <w:r>
        <w:rPr>
          <w:rFonts w:ascii="Arial;sans-serif" w:hAnsi="Arial;sans-serif"/>
          <w:b w:val="false"/>
          <w:color w:val="000000"/>
          <w:sz w:val="20"/>
        </w:rPr>
        <w:t>,” in the Notes to the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 xml:space="preserve">Item 3. Quantitative and Qualitative Disclosures about Market Risk </w:t>
      </w:r>
    </w:p>
    <w:p>
      <w:pPr>
        <w:pStyle w:val="TextBody"/>
        <w:bidi w:val="0"/>
        <w:spacing w:lineRule="auto" w:line="288" w:before="0" w:after="240"/>
        <w:jc w:val="both"/>
        <w:rPr/>
      </w:pPr>
      <w:r>
        <w:rPr>
          <w:rFonts w:ascii="Arial;sans-serif" w:hAnsi="Arial;sans-serif"/>
          <w:b w:val="false"/>
          <w:i/>
          <w:color w:val="000000"/>
          <w:sz w:val="20"/>
        </w:rPr>
        <w:t>Interest Rate Risk</w:t>
      </w:r>
      <w:r>
        <w:rPr>
          <w:rFonts w:ascii="Arial;sans-serif" w:hAnsi="Arial;sans-serif"/>
          <w:b w:val="false"/>
          <w:color w:val="000000"/>
          <w:sz w:val="20"/>
        </w:rPr>
        <w:t xml:space="preserve">. Holley is exposed to market risk in the normal course of business due to the Company’s ongoing investing and financing 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the risk from its interest rate exposure. The Company's interest rate collars are intended to mitigate some of the effects of increases in interest rates. As of June 28, 2026, a total of $527.7 million of term loan were subject to variable interest rates, with a weighted average borrowing rate of 7.5%. A hypothetical 100 basis point increase in interest rates would result in an approximately $1.3 million increase in annual interest expense, while a hypothetical 100 basis point decrease in interest rates would result in an approximately $5.3 million decrease to Holley’s annual interest expense. </w:t>
      </w:r>
    </w:p>
    <w:p>
      <w:pPr>
        <w:pStyle w:val="TextBody"/>
        <w:bidi w:val="0"/>
        <w:spacing w:lineRule="auto" w:line="288" w:before="0" w:after="240"/>
        <w:jc w:val="both"/>
        <w:rPr/>
      </w:pPr>
      <w:r>
        <w:rPr>
          <w:rFonts w:ascii="Arial;sans-serif" w:hAnsi="Arial;sans-serif"/>
          <w:b w:val="false"/>
          <w:i/>
          <w:color w:val="000000"/>
          <w:sz w:val="20"/>
        </w:rPr>
        <w:t>Credit and other Risks</w:t>
      </w:r>
      <w:r>
        <w:rPr>
          <w:rFonts w:ascii="Arial;sans-serif" w:hAnsi="Arial;sans-serif"/>
          <w:b w:val="false"/>
          <w:color w:val="000000"/>
          <w:sz w:val="20"/>
        </w:rPr>
        <w:t xml:space="preserve">. Holley is exposed to credit risk associated with cash and cash equivalents and trade receivables. As of June 28, 2026, the majority of the Company’s cash and cash equivalents consisted of cash balances in an overnight sweep account where funds are transferred to an interest-bearing deposit account that is insured by the Federal Deposit Insurance Corporation ("FDIC"). The FDIC insures financial institution deposits up to $250 thousand. Holley maintains deposits in certain accounts which exceed the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coverage provided on such deposits. The Company does not believe that its cash equivalents present significant credit risks because the counterparties to the instruments consist of major financial institutions.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pStyle w:val="TextBody"/>
        <w:bidi w:val="0"/>
        <w:spacing w:lineRule="auto" w:line="288" w:before="0" w:after="240"/>
        <w:jc w:val="both"/>
        <w:rPr/>
      </w:pPr>
      <w:r>
        <w:rPr>
          <w:rFonts w:ascii="Arial;sans-serif" w:hAnsi="Arial;sans-serif"/>
          <w:b w:val="false"/>
          <w:i/>
          <w:color w:val="000000"/>
          <w:sz w:val="20"/>
        </w:rPr>
        <w:t>Exchange Rate Sensitivity</w:t>
      </w:r>
      <w:r>
        <w:rPr>
          <w:rFonts w:ascii="Arial;sans-serif" w:hAnsi="Arial;sans-serif"/>
          <w:b w:val="false"/>
          <w:color w:val="000000"/>
          <w:sz w:val="20"/>
        </w:rPr>
        <w:t>. As of June 28, 2026, the Company is exposed to changes in foreign currency exchange rates. While historically this exposure to changes in foreign currency exchange rates has not had a material effect on the Company’s financial condition or results of operations, foreign currency fluctuations could have a material adverse effect on business and results of operations in the future. Historically, Holley’s primary exposure has been related to transactions denominated in the Euro and Canadian dollars. The majority of the Company’s sales, both domestically and internationally, are denominated in U.S. Dollars. Historically, the majority of the Company’s expenses have also been in U.S. Dollars, and we have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Management, which includes our President, Chief Executive Officer and Chief Financial Officer, has evaluated the effectiveness of our disclosure controls and procedures (as defined in Rules 13a-15(e) and 15d-15(e) of the Securities Exchange Act of 1934, as amended (the “Exchange Act”)) as of the end of the period covered by this Quarterly Report.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Our management has evaluated the effectiveness of the design and operation of our disclosure controls and procedures as of June 28, 2026, the end of the period covered by this Quarterly Report on Form 10-Q. Based on such evaluation, our Chief Executive Officer and Chief Financial Officer have concluded that the disclosure controls and procedures were effective as of June 28, 2026.</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defined in Rules 13a-15(f) and 15d-15(f) under the Securities Exchange Act of 1934, as amended, during the fiscal quarter ended June 28,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240"/>
        <w:jc w:val="both"/>
        <w:rPr/>
      </w:pPr>
      <w:r>
        <w:rPr>
          <w:rFonts w:ascii="Arial;sans-serif" w:hAnsi="Arial;sans-serif"/>
          <w:b w:val="false"/>
          <w:color w:val="000000"/>
          <w:sz w:val="20"/>
        </w:rPr>
        <w:t>See Litigation in Note 17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to the condensed consolidated financial statements, which is incorporated by reference in this Item 1.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We operate in a changing environment that involves numerous known and unknown risks and uncertainties that could materially affect our operations. Factors that could materially affect our actual results, levels of activity, performance or achievements include, but are not limited to, those under the caption “Risk Factors” included in our Annual Report on Form 10-K for the year ended December 31, 2025, as filed with the SEC on March 16, 2026. Such risks, uncertainties and other factors may cause our actual results, performance, and achievements to be materially different from those expressed or implied by our forward-looking statements. If any of these risks or events occur, our business, financial condition or results of operations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240"/>
        <w:jc w:val="both"/>
        <w:rPr>
          <w:rFonts w:ascii="Arial;sans-serif" w:hAnsi="Arial;sans-serif"/>
          <w:b/>
          <w:i/>
          <w:color w:val="000000"/>
          <w:sz w:val="20"/>
        </w:rPr>
      </w:pPr>
      <w:r>
        <w:rPr>
          <w:rFonts w:ascii="Arial;sans-serif" w:hAnsi="Arial;sans-serif"/>
          <w:b/>
          <w:i/>
          <w:color w:val="000000"/>
          <w:sz w:val="20"/>
        </w:rPr>
        <w:t>Issuer Repurchases of Equity Securities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Shares of Common Stock repurchased by the Company during the 13-week period ended June 28, 2026 were as follows: </w:t>
      </w:r>
    </w:p>
    <w:tbl>
      <w:tblPr>
        <w:tblW w:w="10205" w:type="dxa"/>
        <w:jc w:val="left"/>
        <w:tblInd w:w="0" w:type="dxa"/>
        <w:tblLayout w:type="fixed"/>
        <w:tblCellMar>
          <w:top w:w="28" w:type="dxa"/>
          <w:left w:w="28" w:type="dxa"/>
          <w:bottom w:w="28" w:type="dxa"/>
          <w:right w:w="28" w:type="dxa"/>
        </w:tblCellMar>
      </w:tblPr>
      <w:tblGrid>
        <w:gridCol w:w="432"/>
        <w:gridCol w:w="379"/>
        <w:gridCol w:w="383"/>
        <w:gridCol w:w="507"/>
        <w:gridCol w:w="507"/>
        <w:gridCol w:w="509"/>
        <w:gridCol w:w="109"/>
        <w:gridCol w:w="109"/>
        <w:gridCol w:w="109"/>
        <w:gridCol w:w="327"/>
        <w:gridCol w:w="793"/>
        <w:gridCol w:w="169"/>
        <w:gridCol w:w="109"/>
        <w:gridCol w:w="109"/>
        <w:gridCol w:w="109"/>
        <w:gridCol w:w="782"/>
        <w:gridCol w:w="782"/>
        <w:gridCol w:w="785"/>
        <w:gridCol w:w="109"/>
        <w:gridCol w:w="109"/>
        <w:gridCol w:w="109"/>
        <w:gridCol w:w="555"/>
        <w:gridCol w:w="1899"/>
        <w:gridCol w:w="415"/>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Period</w:t>
            </w:r>
          </w:p>
        </w:tc>
        <w:tc>
          <w:tcPr>
            <w:tcW w:w="1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Maximum Approximate Dollar Value of Shares that May Yet be Purchased under the Plan</w:t>
            </w:r>
          </w:p>
        </w:tc>
      </w:tr>
      <w:tr>
        <w:trPr/>
        <w:tc>
          <w:tcPr>
            <w:tcW w:w="1194"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r>
      <w:tr>
        <w:trPr/>
        <w:tc>
          <w:tcPr>
            <w:tcW w:w="11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26, 2026 to June 28, 2026</w:t>
            </w:r>
          </w:p>
        </w:tc>
        <w:tc>
          <w:tcPr>
            <w:tcW w:w="15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23,000 </w:t>
            </w:r>
          </w:p>
        </w:tc>
        <w:tc>
          <w:tcPr>
            <w:tcW w:w="4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On May 26, 2026 the Company announced that its Board of Directors approved a share repurchase program authorizing the purchase by the Company in the aggregate of up to $25.0 million of the Company's outstanding Common Stock. Repurchases of shares are made in accordance with applicable securities laws and may be made from time to time in the open market or by privately negotiated transactions, at the Company's discretion. The amount and timing of repurchases are based on a variety of factors, including stock prices, regulatory limitations and other market and economic factors. The share repurchase plan does not require the Company to repurchase any specific number of shares, and the Company may modify, suspend or terminate the repurchase plan at any time without notice.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As of June 28, 2026, the Company has approximately $23.0 million remaining under the share repurchase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Trading Plans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During the fiscal quarter ended June 28, 2026, no director or Section 16 officer adopted or terminated any Rule 10b5-1 trading arrangements or non-Rule 10b5-1 trading arrangements (in each case, as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1"/>
        <w:gridCol w:w="282"/>
        <w:gridCol w:w="284"/>
        <w:gridCol w:w="109"/>
        <w:gridCol w:w="109"/>
        <w:gridCol w:w="109"/>
        <w:gridCol w:w="2763"/>
        <w:gridCol w:w="2571"/>
        <w:gridCol w:w="3657"/>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88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Arial;sans-serif" w:hAnsi="Arial;sans-serif"/>
                  <w:b w:val="false"/>
                  <w:color w:val="0000FF"/>
                  <w:sz w:val="20"/>
                  <w:u w:val="single"/>
                </w:rPr>
                <w:t>Agreement and Plan of Merger, dated as of March 11, 2021, by and among Empower Ltd., Empower Merger Sub I Inc., Empower Merger Sub II LLC and Holley Intermediate Holdings, Inc. (incorporated by reference to Exhibit 2.1 to the Company’s Current Report on Form 8-K, filed with the SEC on March 12, 2021).</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Certificate of Incorporation of the Company, dated July 16, 2021 (incorporated by reference to Exhibit 3.1 of the Company’s Current Report on Form 8-K, filed with the SEC on July 21, 2021).</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20"/>
                  <w:u w:val="single"/>
                </w:rPr>
                <w:t>Amended and Restated By-Laws of the Company, dated August 8, 2023 (incorporated by reference to Exhibit 3.1 of the Company’s Current Report on Form 8-K, filed with the SEC on August 9, 2023).</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20"/>
                  <w:u w:val="single"/>
                </w:rPr>
                <w:t>First Amendment to Holley Inc. 2021 Omnibus Incentive Plan (incorporated by reference to Exhibit A to the Registrant's Definitive Proxy Statement on Schedule 14A, filed with the Commission on March 20, 2026 (File No. 001-39599)).</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20"/>
                  <w:u w:val="single"/>
                </w:rPr>
                <w:t>Separation Agreement and General Release, dated April 7, 2026, by and between Holley Inc. and Carly Kennedy (incorporated by reference to Exhibit 10.1 to the Company's Current Report on Form 8-K, filed with the SEC on April 7, 2026).</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20"/>
                  <w:u w:val="single"/>
                </w:rPr>
                <w:t>Employment Agreement, dated April 27, 2026, by and between Holley Inc. and Sarah Apple (incorporated by reference to Exhibit 99.2 to the Company's Current Report on Form 8-K, filed with the SEC on May 15, 2026).</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lly-20260628xex311.htm">
              <w:r>
                <w:rPr>
                  <w:rStyle w:val="InternetLink"/>
                  <w:rFonts w:ascii="Arial;sans-serif" w:hAnsi="Arial;sans-serif"/>
                  <w:b w:val="false"/>
                  <w:color w:val="0000FF"/>
                  <w:sz w:val="20"/>
                  <w:u w:val="single"/>
                </w:rPr>
                <w:t>Certification of Chief Executive Officer pursuant to Rules 13a-14(a) and 15d-14(a) of the Exchange Act</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lly-20260628xexx312.htm">
              <w:r>
                <w:rPr>
                  <w:rStyle w:val="InternetLink"/>
                  <w:rFonts w:ascii="Arial;sans-serif" w:hAnsi="Arial;sans-serif"/>
                  <w:b w:val="false"/>
                  <w:color w:val="0000FF"/>
                  <w:sz w:val="20"/>
                  <w:u w:val="single"/>
                </w:rPr>
                <w:t>Certification of Chief Financial Officer Pursuant to Rules 13a-14(a) and 15d-14(a) of the Exchange Act</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lly-20260628xexx321.htm">
              <w:r>
                <w:rPr>
                  <w:rStyle w:val="InternetLink"/>
                  <w:rFonts w:ascii="Arial;sans-serif" w:hAnsi="Arial;sans-serif"/>
                  <w:b w:val="false"/>
                  <w:color w:val="0000FF"/>
                  <w:sz w:val="20"/>
                  <w:u w:val="single"/>
                </w:rPr>
                <w:t>Certification of Chief Executive Officer pursuant to Rule 13a-14(b) of the Exchange Act and 18 U.S.C. 1350, as adopted pursuant to Section 906 of the Sarbanes-Oxley Act of 2002</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lly-20260628xexx322.htm">
              <w:r>
                <w:rPr>
                  <w:rStyle w:val="InternetLink"/>
                  <w:rFonts w:ascii="Arial;sans-serif" w:hAnsi="Arial;sans-serif"/>
                  <w:b w:val="false"/>
                  <w:color w:val="0000FF"/>
                  <w:sz w:val="20"/>
                  <w:u w:val="single"/>
                </w:rPr>
                <w:t>Certification of Chief Financial Officer pursuant to Rule 13a-14(b) of the Exchange Act and 18 U.S.C. 1350, as adopted pursuant to Section 906 of the Sarbanes-Oxley Act of 2002</w:t>
              </w:r>
            </w:hyperlink>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Instance Document - the instance document does not appear in the Interactive Data File because its XBRL tags are embedded within the Inline XBRL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 and included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240"/>
        <w:jc w:val="left"/>
        <w:rPr/>
      </w:pPr>
      <w:hyperlink w:anchor="i2a41f012f14e4af7975d86d21af71b6c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4631" w:type="dxa"/>
        <w:jc w:val="left"/>
        <w:tblInd w:w="0" w:type="dxa"/>
        <w:tblLayout w:type="fixed"/>
        <w:tblCellMar>
          <w:top w:w="28" w:type="dxa"/>
          <w:left w:w="28" w:type="dxa"/>
          <w:bottom w:w="28" w:type="dxa"/>
          <w:right w:w="28" w:type="dxa"/>
        </w:tblCellMar>
      </w:tblPr>
      <w:tblGrid>
        <w:gridCol w:w="124"/>
        <w:gridCol w:w="109"/>
        <w:gridCol w:w="109"/>
        <w:gridCol w:w="1254"/>
        <w:gridCol w:w="1254"/>
        <w:gridCol w:w="1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Holley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Jesse Weaver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Jesse Weaver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 (Duly Authorized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220"/>
        <w:jc w:val="right"/>
        <w:rPr>
          <w:rFonts w:ascii="Arial;sans-serif" w:hAnsi="Arial;sans-serif"/>
          <w:b w:val="false"/>
          <w:color w:val="000000"/>
          <w:sz w:val="20"/>
        </w:rPr>
      </w:pPr>
      <w:r>
        <w:rPr>
          <w:rFonts w:ascii="Arial;sans-serif" w:hAnsi="Arial;sans-serif"/>
          <w:b w:val="false"/>
          <w:color w:val="000000"/>
          <w:sz w:val="20"/>
        </w:rPr>
        <w:t>Exhibit 31.1</w:t>
      </w:r>
    </w:p>
    <w:p>
      <w:pPr>
        <w:pStyle w:val="TextBody"/>
        <w:bidi w:val="0"/>
        <w:spacing w:lineRule="auto" w:line="288" w:before="0" w:after="22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0" w:after="220"/>
        <w:jc w:val="both"/>
        <w:rPr>
          <w:rFonts w:ascii="Arial;sans-serif" w:hAnsi="Arial;sans-serif"/>
          <w:b w:val="false"/>
          <w:color w:val="000000"/>
          <w:sz w:val="20"/>
        </w:rPr>
      </w:pPr>
      <w:r>
        <w:rPr>
          <w:rFonts w:ascii="Arial;sans-serif" w:hAnsi="Arial;sans-serif"/>
          <w:b w:val="false"/>
          <w:color w:val="000000"/>
          <w:sz w:val="20"/>
        </w:rPr>
        <w:t>I, Matthew Stevenson, certify that:</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Holley Inc.;</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3777" w:type="dxa"/>
        <w:jc w:val="left"/>
        <w:tblInd w:w="0" w:type="dxa"/>
        <w:tblLayout w:type="fixed"/>
        <w:tblCellMar>
          <w:top w:w="28" w:type="dxa"/>
          <w:left w:w="28" w:type="dxa"/>
          <w:bottom w:w="28" w:type="dxa"/>
          <w:right w:w="28" w:type="dxa"/>
        </w:tblCellMar>
      </w:tblPr>
      <w:tblGrid>
        <w:gridCol w:w="124"/>
        <w:gridCol w:w="109"/>
        <w:gridCol w:w="109"/>
        <w:gridCol w:w="1004"/>
        <w:gridCol w:w="1004"/>
        <w:gridCol w:w="1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Matthew Stevenson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Matthew Stevenson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20"/>
        <w:jc w:val="right"/>
        <w:rPr>
          <w:rFonts w:ascii="Arial;sans-serif" w:hAnsi="Arial;sans-serif"/>
          <w:b w:val="false"/>
          <w:color w:val="000000"/>
          <w:sz w:val="20"/>
        </w:rPr>
      </w:pPr>
      <w:r>
        <w:rPr>
          <w:rFonts w:ascii="Arial;sans-serif" w:hAnsi="Arial;sans-serif"/>
          <w:b w:val="false"/>
          <w:color w:val="000000"/>
          <w:sz w:val="20"/>
        </w:rPr>
        <w:t>Exhibit 31.2</w:t>
      </w:r>
    </w:p>
    <w:p>
      <w:pPr>
        <w:pStyle w:val="TextBody"/>
        <w:bidi w:val="0"/>
        <w:spacing w:lineRule="auto" w:line="288" w:before="0" w:after="22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0" w:after="220"/>
        <w:jc w:val="both"/>
        <w:rPr>
          <w:rFonts w:ascii="Arial;sans-serif" w:hAnsi="Arial;sans-serif"/>
          <w:b w:val="false"/>
          <w:color w:val="000000"/>
          <w:sz w:val="20"/>
        </w:rPr>
      </w:pPr>
      <w:r>
        <w:rPr>
          <w:rFonts w:ascii="Arial;sans-serif" w:hAnsi="Arial;sans-serif"/>
          <w:b w:val="false"/>
          <w:color w:val="000000"/>
          <w:sz w:val="20"/>
        </w:rPr>
        <w:t>I, Jesse Weaver, certify that:</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Holley Inc.;</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20"/>
        <w:ind w:left="0" w:right="0" w:hanging="216"/>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2426" w:type="dxa"/>
        <w:jc w:val="left"/>
        <w:tblInd w:w="0" w:type="dxa"/>
        <w:tblLayout w:type="fixed"/>
        <w:tblCellMar>
          <w:top w:w="28" w:type="dxa"/>
          <w:left w:w="28" w:type="dxa"/>
          <w:bottom w:w="28" w:type="dxa"/>
          <w:right w:w="28" w:type="dxa"/>
        </w:tblCellMar>
      </w:tblPr>
      <w:tblGrid>
        <w:gridCol w:w="124"/>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Jesse Weaver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Jesse Weaver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22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220"/>
        <w:jc w:val="both"/>
        <w:rPr>
          <w:rFonts w:ascii="Arial;sans-serif" w:hAnsi="Arial;sans-serif"/>
          <w:b w:val="false"/>
          <w:color w:val="000000"/>
          <w:sz w:val="20"/>
        </w:rPr>
      </w:pPr>
      <w:r>
        <w:rPr>
          <w:rFonts w:ascii="Arial;sans-serif" w:hAnsi="Arial;sans-serif"/>
          <w:b w:val="false"/>
          <w:color w:val="000000"/>
          <w:sz w:val="20"/>
        </w:rPr>
        <w:t>In connection with the Quarterly Report of Holley Inc. (the "Company") on Form 10-Q for the period ended June 28, 2026, as filed with the Securities and Exchange Commission (the "Report"), I, Matthew Stevenson, President and Chief Executive Officer of the Company, certifies, pursuant to 18 U.S.C. Section 1350, as adopted pursuant to Section 906 of the Sarbanes-Oxley Act of 2002, that:</w:t>
      </w:r>
    </w:p>
    <w:p>
      <w:pPr>
        <w:pStyle w:val="TextBody"/>
        <w:bidi w:val="0"/>
        <w:spacing w:lineRule="auto" w:line="288" w:before="0" w:after="220"/>
        <w:ind w:left="0" w:right="0" w:hanging="302"/>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560"/>
        <w:ind w:left="0" w:right="0" w:hanging="302"/>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3777" w:type="dxa"/>
        <w:jc w:val="left"/>
        <w:tblInd w:w="0" w:type="dxa"/>
        <w:tblLayout w:type="fixed"/>
        <w:tblCellMar>
          <w:top w:w="28" w:type="dxa"/>
          <w:left w:w="28" w:type="dxa"/>
          <w:bottom w:w="28" w:type="dxa"/>
          <w:right w:w="28" w:type="dxa"/>
        </w:tblCellMar>
      </w:tblPr>
      <w:tblGrid>
        <w:gridCol w:w="124"/>
        <w:gridCol w:w="109"/>
        <w:gridCol w:w="109"/>
        <w:gridCol w:w="1004"/>
        <w:gridCol w:w="1004"/>
        <w:gridCol w:w="1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Matthew Stevenson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Matthew Stevenson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5, 2026</w:t>
            </w:r>
          </w:p>
        </w:tc>
      </w:tr>
    </w:tbl>
    <w:p>
      <w:pPr>
        <w:pStyle w:val="TextBody"/>
        <w:bidi w:val="0"/>
        <w:spacing w:lineRule="auto" w:line="288" w:before="0" w:after="220"/>
        <w:jc w:val="both"/>
        <w:rPr>
          <w:rFonts w:ascii="Arial;sans-serif" w:hAnsi="Arial;sans-serif"/>
          <w:b w:val="false"/>
          <w:color w:val="000000"/>
          <w:sz w:val="20"/>
        </w:rPr>
      </w:pPr>
      <w:r>
        <w:rPr>
          <w:rFonts w:ascii="Arial;sans-serif" w:hAnsi="Arial;sans-serif"/>
          <w:b w:val="false"/>
          <w:color w:val="000000"/>
          <w:sz w:val="20"/>
        </w:rPr>
        <w:t>A signed original of this statement has been provided to the Company and will be retained by the Company and furnished to the SEC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val="false"/>
          <w:color w:val="000000"/>
          <w:sz w:val="20"/>
        </w:rPr>
      </w:pPr>
      <w:r>
        <w:rPr>
          <w:rFonts w:ascii="Arial;sans-serif" w:hAnsi="Arial;sans-serif"/>
          <w:b w:val="false"/>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22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220"/>
        <w:jc w:val="both"/>
        <w:rPr>
          <w:rFonts w:ascii="Arial;sans-serif" w:hAnsi="Arial;sans-serif"/>
          <w:b w:val="false"/>
          <w:color w:val="000000"/>
          <w:sz w:val="20"/>
        </w:rPr>
      </w:pPr>
      <w:r>
        <w:rPr>
          <w:rFonts w:ascii="Arial;sans-serif" w:hAnsi="Arial;sans-serif"/>
          <w:b w:val="false"/>
          <w:color w:val="000000"/>
          <w:sz w:val="20"/>
        </w:rPr>
        <w:t>In connection with the Quarterly Report of Holley Inc. (the "Company") on Form 10-Q for the period ended June 28, 2026, as filed with the Securities and Exchange Commission (the "Report"), I, Jesse Weaver, Chief Financial Officer of the Company, certifies, pursuant to 18 U.S.C. Section 1350, as adopted pursuant to Section 906 of the Sarbanes-Oxley Act of 2002, that:</w:t>
      </w:r>
    </w:p>
    <w:p>
      <w:pPr>
        <w:pStyle w:val="TextBody"/>
        <w:bidi w:val="0"/>
        <w:spacing w:lineRule="auto" w:line="288" w:before="0" w:after="240"/>
        <w:ind w:left="0" w:right="0" w:hanging="302"/>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560"/>
        <w:ind w:left="0" w:right="0" w:hanging="302"/>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2426" w:type="dxa"/>
        <w:jc w:val="left"/>
        <w:tblInd w:w="0" w:type="dxa"/>
        <w:tblLayout w:type="fixed"/>
        <w:tblCellMar>
          <w:top w:w="28" w:type="dxa"/>
          <w:left w:w="28" w:type="dxa"/>
          <w:bottom w:w="28" w:type="dxa"/>
          <w:right w:w="28" w:type="dxa"/>
        </w:tblCellMar>
      </w:tblPr>
      <w:tblGrid>
        <w:gridCol w:w="124"/>
        <w:gridCol w:w="109"/>
        <w:gridCol w:w="109"/>
        <w:gridCol w:w="609"/>
        <w:gridCol w:w="609"/>
        <w:gridCol w:w="8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Jesse Weaver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Jesse Weaver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August 5, 2026</w:t>
            </w:r>
          </w:p>
        </w:tc>
      </w:tr>
    </w:tbl>
    <w:p>
      <w:pPr>
        <w:pStyle w:val="TextBody"/>
        <w:bidi w:val="0"/>
        <w:spacing w:lineRule="auto" w:line="288" w:before="0" w:after="220"/>
        <w:jc w:val="both"/>
        <w:rPr>
          <w:rFonts w:ascii="Arial;sans-serif" w:hAnsi="Arial;sans-serif"/>
          <w:b w:val="false"/>
          <w:color w:val="000000"/>
          <w:sz w:val="20"/>
        </w:rPr>
      </w:pPr>
      <w:r>
        <w:rPr>
          <w:rFonts w:ascii="Arial;sans-serif" w:hAnsi="Arial;sans-serif"/>
          <w:b w:val="false"/>
          <w:color w:val="000000"/>
          <w:sz w:val="20"/>
        </w:rPr>
        <w:t>A signed original of this statement has been provided to the Company and will be retained by the Company and furnished to the SEC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2928/000121390021015000/ea137482ex2_1empower.htm" TargetMode="External"/><Relationship Id="rId3" Type="http://schemas.openxmlformats.org/officeDocument/2006/relationships/hyperlink" Target="https://www.sec.gov/Archives/edgar/data/1822928/000119312521220722/d185405dex31.htm" TargetMode="External"/><Relationship Id="rId4" Type="http://schemas.openxmlformats.org/officeDocument/2006/relationships/hyperlink" Target="https://www.sec.gov/Archives/edgar/data/1822928/000143774923022802/ex_557791.htm" TargetMode="External"/><Relationship Id="rId5" Type="http://schemas.openxmlformats.org/officeDocument/2006/relationships/hyperlink" Target="https://www.sec.gov/Archives/edgar/data/1822928/000114036126010494/ny20062835x1_def14a.htm" TargetMode="External"/><Relationship Id="rId6" Type="http://schemas.openxmlformats.org/officeDocument/2006/relationships/hyperlink" Target="https://www.sec.gov/Archives/edgar/data/1822928/000114036126013763/ef20070041_ex10-1.htm" TargetMode="External"/><Relationship Id="rId7" Type="http://schemas.openxmlformats.org/officeDocument/2006/relationships/hyperlink" Target="https://www.sec.gov/Archives/edgar/data/1822928/000182292826000047/ex992-applexemploymentagre.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22264</Words>
  <Characters>124167</Characters>
  <CharactersWithSpaces>144841</CharactersWithSpaces>
  <Paragraphs>2882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