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HOLLEY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0" w:type="dxa"/>
        <w:tblCellMar>
          <w:top w:w="0" w:type="dxa"/>
          <w:left w:w="0" w:type="dxa"/>
          <w:bottom w:w="0" w:type="dxa"/>
          <w:right w:w="0" w:type="dxa"/>
        </w:tblCellMar>
      </w:tblPr>
      <w:tr>
        <w:trPr>
          <w:trHeight w:val="238"/>
        </w:trPr>
        <w:tc>
          <w:tcPr>
            <w:tcW w:w="298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2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001-39599</w:t>
            </w:r>
          </w:p>
        </w:tc>
        <w:tc>
          <w:tcPr>
            <w:tcW w:w="1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87-1727560</w:t>
            </w:r>
          </w:p>
        </w:tc>
      </w:tr>
      <w:tr>
        <w:trPr>
          <w:trHeight w:val="248"/>
        </w:trPr>
        <w:tc>
          <w:tcPr>
            <w:tcW w:w="298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2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7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98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2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7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567"/>
        </w:trPr>
        <w:tc>
          <w:tcPr>
            <w:tcW w:w="8240" w:type="dxa"/>
            <w:vAlign w:val="bottom"/>
            <w:gridSpan w:val="2"/>
          </w:tcPr>
          <w:p>
            <w:pPr>
              <w:jc w:val="center"/>
              <w:ind w:right="4590"/>
              <w:spacing w:after="0"/>
              <w:rPr>
                <w:sz w:val="20"/>
                <w:szCs w:val="20"/>
                <w:color w:val="auto"/>
              </w:rPr>
            </w:pPr>
            <w:r>
              <w:rPr>
                <w:rFonts w:ascii="Times New Roman" w:cs="Times New Roman" w:eastAsia="Times New Roman" w:hAnsi="Times New Roman"/>
                <w:sz w:val="18"/>
                <w:szCs w:val="18"/>
                <w:b w:val="1"/>
                <w:bCs w:val="1"/>
                <w:color w:val="auto"/>
                <w:w w:val="99"/>
              </w:rPr>
              <w:t>1A Burton Hills Blvd, Suite 240, Nashville, TN</w:t>
            </w:r>
          </w:p>
        </w:tc>
        <w:tc>
          <w:tcPr>
            <w:tcW w:w="17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37215</w:t>
            </w:r>
          </w:p>
        </w:tc>
      </w:tr>
      <w:tr>
        <w:trPr>
          <w:trHeight w:val="270"/>
        </w:trPr>
        <w:tc>
          <w:tcPr>
            <w:tcW w:w="8240" w:type="dxa"/>
            <w:vAlign w:val="bottom"/>
            <w:gridSpan w:val="2"/>
          </w:tcPr>
          <w:p>
            <w:pPr>
              <w:jc w:val="center"/>
              <w:ind w:right="45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7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491"/>
        </w:trPr>
        <w:tc>
          <w:tcPr>
            <w:tcW w:w="2980" w:type="dxa"/>
            <w:vAlign w:val="bottom"/>
          </w:tcPr>
          <w:p>
            <w:pPr>
              <w:spacing w:after="0"/>
              <w:rPr>
                <w:sz w:val="24"/>
                <w:szCs w:val="24"/>
                <w:color w:val="auto"/>
              </w:rPr>
            </w:pPr>
          </w:p>
        </w:tc>
        <w:tc>
          <w:tcPr>
            <w:tcW w:w="5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(270) 782-2900</w:t>
            </w:r>
          </w:p>
        </w:tc>
        <w:tc>
          <w:tcPr>
            <w:tcW w:w="1720" w:type="dxa"/>
            <w:vAlign w:val="bottom"/>
          </w:tcPr>
          <w:p>
            <w:pPr>
              <w:spacing w:after="0"/>
              <w:rPr>
                <w:sz w:val="24"/>
                <w:szCs w:val="24"/>
                <w:color w:val="auto"/>
              </w:rPr>
            </w:pPr>
          </w:p>
        </w:tc>
      </w:tr>
      <w:tr>
        <w:trPr>
          <w:trHeight w:val="216"/>
        </w:trPr>
        <w:tc>
          <w:tcPr>
            <w:tcW w:w="2980" w:type="dxa"/>
            <w:vAlign w:val="bottom"/>
          </w:tcPr>
          <w:p>
            <w:pPr>
              <w:spacing w:after="0"/>
              <w:rPr>
                <w:sz w:val="18"/>
                <w:szCs w:val="18"/>
                <w:color w:val="auto"/>
              </w:rPr>
            </w:pPr>
          </w:p>
        </w:tc>
        <w:tc>
          <w:tcPr>
            <w:tcW w:w="5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720" w:type="dxa"/>
            <w:vAlign w:val="bottom"/>
          </w:tcPr>
          <w:p>
            <w:pPr>
              <w:spacing w:after="0"/>
              <w:rPr>
                <w:sz w:val="18"/>
                <w:szCs w:val="18"/>
                <w:color w:val="auto"/>
              </w:rPr>
            </w:pPr>
          </w:p>
        </w:tc>
      </w:tr>
      <w:tr>
        <w:trPr>
          <w:trHeight w:val="238"/>
        </w:trPr>
        <w:tc>
          <w:tcPr>
            <w:tcW w:w="2980" w:type="dxa"/>
            <w:vAlign w:val="bottom"/>
          </w:tcPr>
          <w:p>
            <w:pPr>
              <w:spacing w:after="0"/>
              <w:rPr>
                <w:sz w:val="20"/>
                <w:szCs w:val="20"/>
                <w:color w:val="auto"/>
              </w:rPr>
            </w:pPr>
          </w:p>
        </w:tc>
        <w:tc>
          <w:tcPr>
            <w:tcW w:w="5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7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75"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9"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92"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00" w:type="dxa"/>
            <w:vAlign w:val="bottom"/>
          </w:tcPr>
          <w:p>
            <w:pPr>
              <w:spacing w:after="0"/>
              <w:rPr>
                <w:sz w:val="20"/>
                <w:szCs w:val="20"/>
                <w:color w:val="auto"/>
              </w:rPr>
            </w:pPr>
          </w:p>
        </w:tc>
      </w:tr>
      <w:tr>
        <w:trPr>
          <w:trHeight w:val="423"/>
        </w:trPr>
        <w:tc>
          <w:tcPr>
            <w:tcW w:w="6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6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7"/>
        </w:trPr>
        <w:tc>
          <w:tcPr>
            <w:tcW w:w="6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r>
      <w:tr>
        <w:trPr>
          <w:trHeight w:val="236"/>
        </w:trPr>
        <w:tc>
          <w:tcPr>
            <w:tcW w:w="6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3"/>
              </w:rPr>
              <w:t>HLLY</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48"/>
        </w:trPr>
        <w:tc>
          <w:tcPr>
            <w:tcW w:w="6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Warrants, each exercisable for one share of common stock at an exercise price</w:t>
            </w: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HLLY WS</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38"/>
        </w:trPr>
        <w:tc>
          <w:tcPr>
            <w:tcW w:w="6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 $11.50 per share</w:t>
            </w: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00" w:type="dxa"/>
            <w:vAlign w:val="bottom"/>
          </w:tcPr>
          <w:p>
            <w:pPr>
              <w:spacing w:after="0"/>
              <w:rPr>
                <w:sz w:val="20"/>
                <w:szCs w:val="20"/>
                <w:color w:val="auto"/>
              </w:rPr>
            </w:pPr>
          </w:p>
        </w:tc>
      </w:tr>
    </w:tbl>
    <w:p>
      <w:pPr>
        <w:spacing w:after="0" w:line="279" w:lineRule="exact"/>
        <w:rPr>
          <w:sz w:val="24"/>
          <w:szCs w:val="24"/>
          <w:color w:val="auto"/>
        </w:rPr>
      </w:pPr>
    </w:p>
    <w:p>
      <w:pPr>
        <w:jc w:val="both"/>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225"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762"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May 6, 2026, Holley Inc. (the “Company”) issued a press release announcing its financial results and operational highlights for the Company’s quarter ended March 29, 2026 and providing outlook and guidance for the full year 2026. A copy of the press release is furnished herewith as Exhibit 99.1 and incorporated herein by reference.</w:t>
      </w:r>
    </w:p>
    <w:p>
      <w:pPr>
        <w:spacing w:after="0" w:line="14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information under Item 2.02 of this Report, including Exhibit 99.1, attached hereto, is furnished and shall not be deemed “filed” for purposes of Section 18 of the Securities Exchange Act of 1934, as amended (the “Exchange Act”), or otherwise subject to the liabilities of that section, nor shall it be deemed incorporated by reference in any filing under the Exchange Act or Securities Act of 1933, as amended, expect as expressly set forth by specific reference in such a filing.</w:t>
      </w:r>
    </w:p>
    <w:p>
      <w:pPr>
        <w:spacing w:after="0" w:line="39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98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23"/>
        </w:trPr>
        <w:tc>
          <w:tcPr>
            <w:tcW w:w="2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120" w:type="dxa"/>
            <w:vAlign w:val="bottom"/>
            <w:gridSpan w:val="2"/>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10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17"/>
                <w:szCs w:val="17"/>
                <w:color w:val="auto"/>
              </w:rPr>
            </w:pPr>
          </w:p>
        </w:tc>
        <w:tc>
          <w:tcPr>
            <w:tcW w:w="101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Press release dated May 6, 2026</w:t>
            </w:r>
          </w:p>
        </w:tc>
      </w:tr>
      <w:tr>
        <w:trPr>
          <w:trHeight w:val="291"/>
        </w:trPr>
        <w:tc>
          <w:tcPr>
            <w:tcW w:w="20" w:type="dxa"/>
            <w:vAlign w:val="bottom"/>
          </w:tcPr>
          <w:p>
            <w:pPr>
              <w:spacing w:after="0"/>
              <w:rPr>
                <w:sz w:val="24"/>
                <w:szCs w:val="24"/>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71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80" w:type="dxa"/>
            <w:vAlign w:val="bottom"/>
          </w:tcPr>
          <w:p>
            <w:pPr>
              <w:jc w:val="right"/>
              <w:ind w:right="519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4"/>
                <w:szCs w:val="24"/>
                <w:color w:val="auto"/>
              </w:rPr>
            </w:pPr>
          </w:p>
        </w:tc>
      </w:tr>
      <w:tr>
        <w:trPr>
          <w:trHeight w:val="331"/>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6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HOLLEY INC.</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ind w:left="534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Jesse Weaver</w:t>
            </w:r>
          </w:p>
        </w:tc>
      </w:tr>
      <w:tr>
        <w:trPr>
          <w:trHeight w:val="27"/>
        </w:trPr>
        <w:tc>
          <w:tcPr>
            <w:tcW w:w="596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 Jesse Weaver</w:t>
            </w:r>
          </w:p>
        </w:tc>
      </w:tr>
      <w:tr>
        <w:trPr>
          <w:trHeight w:val="27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2026</w:t>
            </w: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tc>
      </w:tr>
    </w:tbl>
    <w:p>
      <w:pPr>
        <w:sectPr>
          <w:pgSz w:w="11900" w:h="16838" w:orient="portrait"/>
          <w:cols w:equalWidth="0" w:num="1">
            <w:col w:w="11240"/>
          </w:cols>
          <w:pgMar w:left="320" w:top="114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9086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90868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1A Burton Hills Blvd, Suite 240</w:t>
      </w:r>
    </w:p>
    <w:p>
      <w:pPr>
        <w:spacing w:after="0" w:line="2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Nashville, TN 37215</w:t>
      </w:r>
    </w:p>
    <w:p>
      <w:pPr>
        <w:spacing w:after="0" w:line="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Holley.com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HOLLEY REPORTS FIRST QUARTER 2026 RESULTS</w:t>
      </w:r>
    </w:p>
    <w:p>
      <w:pPr>
        <w:spacing w:after="0" w:line="18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GROWTH IN THREE OF FOUR DIVISIONS &amp; IMPROVEMENTS IN MULTIPLE KEY FINANCIAL METRICS</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FIRST QUARTER NET INCOME OF $7.3 MILLION, UP $4.4 MILLION YEAR-OVER-YEAR</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FIRST QUARTER ADJUSTED EBITDA MARGIN EXPANSION TO 18.5%, UP 71 BPS 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208280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i w:val="1"/>
          <w:iCs w:val="1"/>
          <w:color w:val="auto"/>
        </w:rPr>
        <w:t>Disciplined Cost Control Supports Resilient First Quarter Profitability</w:t>
      </w:r>
    </w:p>
    <w:p>
      <w:pPr>
        <w:spacing w:after="0" w:line="3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Portfolio Optimization Initiative Expected to Improve Margin by Exiting Non-Value Added Businesses</w:t>
      </w:r>
    </w:p>
    <w:p>
      <w:pPr>
        <w:spacing w:after="0" w:line="200" w:lineRule="exact"/>
        <w:rPr>
          <w:sz w:val="20"/>
          <w:szCs w:val="20"/>
          <w:color w:val="auto"/>
        </w:rPr>
      </w:pPr>
    </w:p>
    <w:p>
      <w:pPr>
        <w:spacing w:after="0" w:line="38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Nashville, TN. </w:t>
      </w:r>
      <w:r>
        <w:rPr>
          <w:rFonts w:ascii="Times New Roman" w:cs="Times New Roman" w:eastAsia="Times New Roman" w:hAnsi="Times New Roman"/>
          <w:sz w:val="18"/>
          <w:szCs w:val="18"/>
          <w:color w:val="auto"/>
        </w:rPr>
        <w:t>– May 6, 2026 – Holley Performance Brands (NYSE: HLLY), a leader in automotive aftermarket performance solutions, today announced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results for its first quarter ended March 29, 2026.</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Highlights vs. Prior Year Period</w:t>
      </w:r>
    </w:p>
    <w:p>
      <w:pPr>
        <w:spacing w:after="0" w:line="189" w:lineRule="exact"/>
        <w:rPr>
          <w:sz w:val="20"/>
          <w:szCs w:val="20"/>
          <w:color w:val="auto"/>
        </w:rPr>
      </w:pPr>
    </w:p>
    <w:p>
      <w:pPr>
        <w:ind w:left="820" w:hanging="326"/>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was $147.3 million compared to $153.0 million last year</w:t>
      </w:r>
    </w:p>
    <w:p>
      <w:pPr>
        <w:spacing w:after="0" w:line="2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$7.3 million, or $0.06 per diluted share, compared to $2.8 million, or $0.02 per diluted share, last year</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Used in Operating Activities was $2.9 million compared to $7.8 million last year</w:t>
      </w:r>
    </w:p>
    <w:p>
      <w:pPr>
        <w:spacing w:after="0" w:line="9" w:lineRule="exact"/>
        <w:rPr>
          <w:rFonts w:ascii="Times New Roman" w:cs="Times New Roman" w:eastAsia="Times New Roman" w:hAnsi="Times New Roman"/>
          <w:sz w:val="18"/>
          <w:szCs w:val="18"/>
          <w:color w:val="auto"/>
        </w:rPr>
      </w:pPr>
    </w:p>
    <w:p>
      <w:pPr>
        <w:ind w:left="820" w:hanging="326"/>
        <w:spacing w:after="0" w:line="197" w:lineRule="auto"/>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was $5.7 million compared to $2.6 million last year</w:t>
      </w:r>
    </w:p>
    <w:p>
      <w:pPr>
        <w:ind w:left="820" w:hanging="326"/>
        <w:spacing w:after="0" w:line="196" w:lineRule="auto"/>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was $27.3 million compared to $27.3 million last year</w:t>
      </w:r>
    </w:p>
    <w:p>
      <w:pPr>
        <w:ind w:left="820" w:hanging="326"/>
        <w:spacing w:after="0" w:line="196" w:lineRule="auto"/>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margin</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was 18.5% compared to 17.8% last year</w:t>
      </w:r>
    </w:p>
    <w:p>
      <w:pPr>
        <w:ind w:left="820" w:hanging="326"/>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was $(6.3) million compared to $(10.8) million last year</w:t>
      </w:r>
    </w:p>
    <w:p>
      <w:pPr>
        <w:spacing w:after="0" w:line="103" w:lineRule="exact"/>
        <w:rPr>
          <w:sz w:val="20"/>
          <w:szCs w:val="20"/>
          <w:color w:val="auto"/>
        </w:rPr>
      </w:pPr>
    </w:p>
    <w:p>
      <w:pPr>
        <w:ind w:left="80" w:hanging="72"/>
        <w:spacing w:after="0"/>
        <w:tabs>
          <w:tab w:leader="none" w:pos="80"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See “Use and Reconciliation of Non-GAAP Financial Measures” below.</w:t>
      </w:r>
    </w:p>
    <w:p>
      <w:pPr>
        <w:spacing w:after="0" w:line="19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delivered first quarter net sales of $147.3 million and Adjusted EBITDA of $27.3 million, reflecting resilient profitability and disciplined execution,” said Matthew Stevenson, President and Chief Executive Officer of Holley.</w:t>
      </w:r>
    </w:p>
    <w:p>
      <w:pPr>
        <w:spacing w:after="0" w:line="135"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“As noted on our prior earnings call, the first quarter began with several temporary headwinds. Distributor inventory levels were elevated entering the period, and while normalization was expected through improved sell-through, severe winter weather in late January and early February 2026 disrupted retail activity.</w:t>
      </w:r>
    </w:p>
    <w:p>
      <w:pPr>
        <w:spacing w:after="0" w:line="13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That said, from week eight onward, we saw steady improvement in purchasing patterns and exited the quarter on improved footing. Margins remained strong in the first quarter of 2026, reflecting proactive tariff management and operating efficiency. We are maintaining that focus, prioritizing cost control and advancing our portfolio optimization initiative, which we expect to support performance over time, while continuing to invest in innovation, deepen our connection with enthusiasts, and compete to gain share.</w:t>
      </w:r>
    </w:p>
    <w:p>
      <w:pPr>
        <w:spacing w:after="0" w:line="13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Strategically, we continued to execute against the framework established in 2025, centered on simplifying the portfolio, strengthening core franchises, and enhancing operating discipline. The acquisition of HRX, a targeted bolt-on that expands our racewear capabilities and deepens our European motorsports presence, marks the reengagement of our M&amp;A strategy, and we remain focused on pursuing additional opportunities that meet our criteria. We believe that the actions we have taken over the past year position us to improve execution and strengthen the business over time.”</w:t>
      </w:r>
    </w:p>
    <w:p>
      <w:pPr>
        <w:sectPr>
          <w:pgSz w:w="11900" w:h="16838" w:orient="portrait"/>
          <w:cols w:equalWidth="0" w:num="1">
            <w:col w:w="11240"/>
          </w:cols>
          <w:pgMar w:left="320" w:top="1147" w:right="339" w:bottom="1440" w:gutter="0" w:footer="0" w:header="0"/>
        </w:sectPr>
      </w:pPr>
    </w:p>
    <w:bookmarkStart w:id="5" w:name="page6"/>
    <w:bookmarkEnd w:id="5"/>
    <w:p>
      <w:pPr>
        <w:spacing w:after="0" w:line="255" w:lineRule="auto"/>
        <w:rPr>
          <w:sz w:val="20"/>
          <w:szCs w:val="20"/>
          <w:color w:val="auto"/>
        </w:rPr>
      </w:pPr>
      <w:r>
        <w:rPr>
          <w:rFonts w:ascii="Times New Roman" w:cs="Times New Roman" w:eastAsia="Times New Roman" w:hAnsi="Times New Roman"/>
          <w:sz w:val="18"/>
          <w:szCs w:val="18"/>
          <w:color w:val="auto"/>
        </w:rPr>
        <w:t>Jesse Weaver, Chief Financial Officer of Holley, added, “Early trends in the second quarter indicate healthier inventory levels at our distribution partners and improving order activity, which we believe position us better for the balance of the year. Through our portfolio optimization initiative, we are exiting non-core, low- to no-profit businesses while reinvesting in targeted M&amp;A, as reflected in our acquisition of HRX. Although these portfolio adjustments reduce our full-year revenue outlook by $15 million, our outlook for the core business remains intact, and we expect the net impact on Adjusted EBITDA from the portfolio optimization to be slightly positive. At the same time, our portfolio adjustments are expected to reduce SKUs by more than 11,000, lower operating complexity, improve working capital efficiency, and generate more than $15 million in incremental cash. Taken together, these actions are expected to improve the quality of our portfolio and support our decision to maintain our full-year Adjusted EBITDA outlook."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Strategic Business Highlights</w:t>
      </w:r>
    </w:p>
    <w:p>
      <w:pPr>
        <w:spacing w:after="0" w:line="202" w:lineRule="exact"/>
        <w:rPr>
          <w:sz w:val="20"/>
          <w:szCs w:val="20"/>
          <w:color w:val="auto"/>
        </w:rPr>
      </w:pPr>
    </w:p>
    <w:p>
      <w:pPr>
        <w:ind w:left="820" w:hanging="32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Exited Q1 with momentum from week 8 as weather improved and inventory normalized.</w:t>
      </w:r>
    </w:p>
    <w:p>
      <w:pPr>
        <w:spacing w:after="0" w:line="2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three of four divisions and across 12 brands across DTC and B2B channels.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$6.5 million in Q1 cost savings from purchasing, tariffs, and operations.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cost and complexity reduction, including site consolidation and closures.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Expecting portfolio rebalancing to generate &gt;$15 million to reinvest in growth</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HRX acquisition strengthens Safety and Racing and expands European presence.</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improvement of $4.5 million compared to same period last year.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Outlook</w:t>
      </w:r>
    </w:p>
    <w:p>
      <w:pPr>
        <w:spacing w:after="0" w:line="18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2026, core business revenue guidance remains unchanged while we are updating full-year guidance to reflect an anticipated $15 million adjustment to net sales as a result of our planned portfolio optimization efforts: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Metric</w:t>
            </w:r>
          </w:p>
        </w:tc>
        <w:tc>
          <w:tcPr>
            <w:tcW w:w="348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Original Full Year 2026 Outlook</w:t>
            </w:r>
          </w:p>
        </w:tc>
        <w:tc>
          <w:tcPr>
            <w:tcW w:w="37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Current Full Year 2026 Outlook</w:t>
            </w:r>
          </w:p>
        </w:tc>
      </w:tr>
      <w:tr>
        <w:trPr>
          <w:trHeight w:val="27"/>
        </w:trPr>
        <w:tc>
          <w:tcPr>
            <w:tcW w:w="402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gridSpan w:val="2"/>
          </w:tcPr>
          <w:p>
            <w:pPr>
              <w:spacing w:after="0"/>
              <w:rPr>
                <w:sz w:val="2"/>
                <w:szCs w:val="2"/>
                <w:color w:val="auto"/>
              </w:rPr>
            </w:pPr>
          </w:p>
        </w:tc>
        <w:tc>
          <w:tcPr>
            <w:tcW w:w="3740" w:type="dxa"/>
            <w:vAlign w:val="bottom"/>
            <w:tcBorders>
              <w:bottom w:val="single" w:sz="8" w:color="auto"/>
            </w:tcBorders>
            <w:gridSpan w:val="2"/>
          </w:tcPr>
          <w:p>
            <w:pPr>
              <w:spacing w:after="0"/>
              <w:rPr>
                <w:sz w:val="2"/>
                <w:szCs w:val="2"/>
                <w:color w:val="auto"/>
              </w:rPr>
            </w:pPr>
          </w:p>
        </w:tc>
      </w:tr>
      <w:tr>
        <w:trPr>
          <w:trHeight w:val="263"/>
        </w:trPr>
        <w:tc>
          <w:tcPr>
            <w:tcW w:w="40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 xml:space="preserve">Net Sales </w:t>
            </w:r>
            <w:r>
              <w:rPr>
                <w:rFonts w:ascii="Times New Roman" w:cs="Times New Roman" w:eastAsia="Times New Roman" w:hAnsi="Times New Roman"/>
                <w:sz w:val="18"/>
                <w:szCs w:val="18"/>
                <w:b w:val="1"/>
                <w:bCs w:val="1"/>
                <w:i w:val="1"/>
                <w:iCs w:val="1"/>
                <w:color w:val="auto"/>
                <w:w w:val="99"/>
              </w:rPr>
              <w:t>Core Business Growth Rate %</w:t>
            </w:r>
            <w:r>
              <w:rPr>
                <w:rFonts w:ascii="Times New Roman" w:cs="Times New Roman" w:eastAsia="Times New Roman" w:hAnsi="Times New Roman"/>
                <w:sz w:val="23"/>
                <w:szCs w:val="23"/>
                <w:b w:val="1"/>
                <w:bCs w:val="1"/>
                <w:i w:val="1"/>
                <w:iCs w:val="1"/>
                <w:color w:val="auto"/>
                <w:w w:val="99"/>
                <w:vertAlign w:val="superscript"/>
              </w:rPr>
              <w:t>1</w:t>
            </w:r>
          </w:p>
        </w:tc>
        <w:tc>
          <w:tcPr>
            <w:tcW w:w="3480" w:type="dxa"/>
            <w:vAlign w:val="bottom"/>
            <w:tcBorders>
              <w:bottom w:val="single" w:sz="8" w:color="auto"/>
            </w:tcBorders>
            <w:gridSpan w:val="2"/>
          </w:tcPr>
          <w:p>
            <w:pPr>
              <w:jc w:val="center"/>
              <w:ind w:right="210"/>
              <w:spacing w:after="0"/>
              <w:rPr>
                <w:sz w:val="20"/>
                <w:szCs w:val="20"/>
                <w:color w:val="auto"/>
              </w:rPr>
            </w:pPr>
            <w:r>
              <w:rPr>
                <w:rFonts w:ascii="Times New Roman" w:cs="Times New Roman" w:eastAsia="Times New Roman" w:hAnsi="Times New Roman"/>
                <w:sz w:val="18"/>
                <w:szCs w:val="18"/>
                <w:color w:val="auto"/>
                <w:w w:val="99"/>
              </w:rPr>
              <w:t xml:space="preserve">$625 - $655 million </w:t>
            </w:r>
            <w:r>
              <w:rPr>
                <w:rFonts w:ascii="Times New Roman" w:cs="Times New Roman" w:eastAsia="Times New Roman" w:hAnsi="Times New Roman"/>
                <w:sz w:val="18"/>
                <w:szCs w:val="18"/>
                <w:i w:val="1"/>
                <w:iCs w:val="1"/>
                <w:color w:val="auto"/>
                <w:w w:val="99"/>
              </w:rPr>
              <w:t>~2% to ~7%</w:t>
            </w:r>
          </w:p>
        </w:tc>
        <w:tc>
          <w:tcPr>
            <w:tcW w:w="3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$610 - $640 million </w:t>
            </w:r>
            <w:r>
              <w:rPr>
                <w:rFonts w:ascii="Times New Roman" w:cs="Times New Roman" w:eastAsia="Times New Roman" w:hAnsi="Times New Roman"/>
                <w:sz w:val="18"/>
                <w:szCs w:val="18"/>
                <w:i w:val="1"/>
                <w:iCs w:val="1"/>
                <w:color w:val="auto"/>
                <w:w w:val="99"/>
              </w:rPr>
              <w:t>~2% to ~7%</w:t>
            </w:r>
          </w:p>
        </w:tc>
      </w:tr>
      <w:tr>
        <w:trPr>
          <w:trHeight w:val="237"/>
        </w:trPr>
        <w:tc>
          <w:tcPr>
            <w:tcW w:w="40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Adjusted EBITDA*</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$137 million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$137 million</w:t>
            </w:r>
          </w:p>
        </w:tc>
      </w:tr>
      <w:tr>
        <w:trPr>
          <w:trHeight w:val="27"/>
        </w:trPr>
        <w:tc>
          <w:tcPr>
            <w:tcW w:w="40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37"/>
        </w:trPr>
        <w:tc>
          <w:tcPr>
            <w:tcW w:w="40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Capital Expenditures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$20 million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$20 million</w:t>
            </w:r>
          </w:p>
        </w:tc>
      </w:tr>
      <w:tr>
        <w:trPr>
          <w:trHeight w:val="27"/>
        </w:trPr>
        <w:tc>
          <w:tcPr>
            <w:tcW w:w="40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37"/>
        </w:trPr>
        <w:tc>
          <w:tcPr>
            <w:tcW w:w="40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Depreciation and Amortization Expense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$26 million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$26 million</w:t>
            </w:r>
          </w:p>
        </w:tc>
      </w:tr>
      <w:tr>
        <w:trPr>
          <w:trHeight w:val="27"/>
        </w:trPr>
        <w:tc>
          <w:tcPr>
            <w:tcW w:w="40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37"/>
        </w:trPr>
        <w:tc>
          <w:tcPr>
            <w:tcW w:w="40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Interest Expense (excluding collar revaluation)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$47 million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$47 million</w:t>
            </w:r>
          </w:p>
        </w:tc>
      </w:tr>
      <w:tr>
        <w:trPr>
          <w:trHeight w:val="27"/>
        </w:trPr>
        <w:tc>
          <w:tcPr>
            <w:tcW w:w="40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Core Business Growth Rate, introduced this quarter, excludes impact from Portfolio Optimization Adjusted anticipated for 2026.</w:t>
      </w:r>
    </w:p>
    <w:p>
      <w:pPr>
        <w:spacing w:after="0" w:line="198" w:lineRule="exact"/>
        <w:rPr>
          <w:sz w:val="20"/>
          <w:szCs w:val="20"/>
          <w:color w:val="auto"/>
        </w:rPr>
      </w:pPr>
    </w:p>
    <w:p>
      <w:pPr>
        <w:jc w:val="both"/>
        <w:ind w:right="200" w:firstLine="8"/>
        <w:spacing w:after="0" w:line="258" w:lineRule="auto"/>
        <w:tabs>
          <w:tab w:leader="none" w:pos="1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Holley is not providing reconciliations of forward-looking full year 2026 Adjusted EBITDA outlook because certain information necessary to calculate the most comparable GAAP measure, net income, is unavailable due to the uncertainty and inherent difficulty of predicting the occurrence and the future financial statement impact of certain items. Therefore, as a result of the uncertainty and variability of the nature and amount of future adjustments, which could be significant, Holley is unable to provide these forward-looking reconciliations without unreasonable effort. Accordingly, Holley is relying on the exception provided by Item 10(e)(1)(i)(B) of Regulation S-K to exclude these reconciliations.</w:t>
      </w:r>
    </w:p>
    <w:p>
      <w:pPr>
        <w:spacing w:after="0" w:line="143"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Holley notes that its outlook for the year-ended December 31, 2026 may vary due to changes in assumptions or market conditions and other factors described below under “Forward-Looking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w:t>
      </w:r>
    </w:p>
    <w:p>
      <w:pPr>
        <w:spacing w:after="0" w:line="189"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8"/>
          <w:szCs w:val="18"/>
          <w:color w:val="auto"/>
        </w:rPr>
        <w:t>A conference call and audio webcast has been scheduled for 8:30 a.m. Eastern Time today to discuss these results. Investors, analysts, and members of the media interested in listening to the live presentation are encouraged to join a webcast of the call available on the investor relations portion of the Company’s website at investor.holley.com. For those that cannot join the webcast, you can participate by dialing 877-407-4019 (Toll Free) or 201-689-8337 (Toll) using the access code of 13759753.</w:t>
      </w:r>
    </w:p>
    <w:p>
      <w:pPr>
        <w:sectPr>
          <w:pgSz w:w="11900" w:h="16838" w:orient="portrait"/>
          <w:cols w:equalWidth="0" w:num="1">
            <w:col w:w="11240"/>
          </w:cols>
          <w:pgMar w:left="320" w:top="1147" w:right="339" w:bottom="1440" w:gutter="0" w:footer="0" w:header="0"/>
        </w:sectPr>
      </w:pPr>
    </w:p>
    <w:bookmarkStart w:id="6" w:name="page7"/>
    <w:bookmarkEnd w:id="6"/>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For those unable to participate, a telephone replay recording will be available until Wednesday, May 13, 2026. To access the replay, please call 877-660-6853 (Toll Free) or 201-612-7415 (Toll) and enter confirmation code 13759753. A web-based archive of the conference call will also be available on the Company’s website.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Financial Information</w:t>
      </w:r>
    </w:p>
    <w:p>
      <w:pPr>
        <w:spacing w:after="0" w:line="20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 xml:space="preserve">The Investor Relations page of Holley’s website, </w:t>
      </w:r>
      <w:r>
        <w:rPr>
          <w:rFonts w:ascii="Times New Roman" w:cs="Times New Roman" w:eastAsia="Times New Roman" w:hAnsi="Times New Roman"/>
          <w:sz w:val="18"/>
          <w:szCs w:val="18"/>
          <w:u w:val="single" w:color="auto"/>
          <w:color w:val="auto"/>
        </w:rPr>
        <w:t>investor.holley.com</w:t>
      </w:r>
      <w:r>
        <w:rPr>
          <w:rFonts w:ascii="Times New Roman" w:cs="Times New Roman" w:eastAsia="Times New Roman" w:hAnsi="Times New Roman"/>
          <w:sz w:val="18"/>
          <w:szCs w:val="18"/>
          <w:color w:val="auto"/>
        </w:rPr>
        <w:t xml:space="preserve"> contains a significant amount of financial information about Holley, including our earnings presentation, which can be found under Events &amp; Presentations. Holley encourages investors to visit this website regularly, as information is updated, and new information is posted.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Holley Performance Brands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Holley Performance Brands (NYSE: HLLY) leads in the design, manufacturing and marketing of high-performance products for automotive enthusiasts. The company owns and manages a portfolio of iconic brands, catering to a diverse community of enthusiasts passionate about the customization and performance of their vehicles. Holley Performance Brands distinguishes itself through a strategic focus on four consumer vertical groupings, including American Performance, Modern Truck &amp; Off-Road, Euro &amp; Import, and Safety &amp; Racing, ensuring a wide-ranging impact across the automotive aftermarket industry. Renowned for its innovative approach and strategic acquisitions, Holley Performance Brands is committed to enhancing the enthusiast experience and driving growth through innovation. For more information on Holley Performance Brands and its dedication to automotive excellence, visit https://www.holley.com.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75"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7"/>
          <w:szCs w:val="17"/>
          <w:color w:val="auto"/>
        </w:rPr>
        <w:t>Certain statements in this press release may be considered “forward-looking statements” within the meaning of the “safe harbor” provisions of the United States Private Securities Litigation Reform Act of 1995. Forward-looking statements generally relate to future events or Holley’s future financial or operating performance. For example, projections of future revenue and adjusted EBITDA and other metrics, along with statements regarding the impact of portfolio optimization efforts and organizational changes, are forward-looking statements. In some cases, you can identify forward-looking statements by terminology such as “may,” “should,” “expect,” “intend,” “will,” “estimate,” “anticipate,” “believe,” “predict,” “or” or the negatives of these terms or variations of them or similar terminology. Such forward-looking statements are subject to risks, uncertainties, and other factors which could cause actual results to differ materially from those expressed or implied by such forward-looking statements. These forward-looking statements are based upon estimates and assumptions that, while considered reasonable by Holley and its management, are inherently uncertain. Factors that may cause actual results to differ materially from current expectations include, but are not limited to: 1) Holley’s ability to execute our business strategy, including monetization of services provided and expansions in and into existing and new lines of business; 2) Holley’s ability to compete effectively in our market; 3) Holley’s ability to successfully design, develop, and market new, effective, and safe products and platforms; 4) Holley’s ability to respond to changes in vehicle ownership and type; 5) Holley’s ability to maintain and strengthen demand for our products; 6) Holley’s ability to grow and effectively manage our growth; 7) Holley’s ability to attract new customers in a cost-effective manner and to expand into additional consumer markets; 8) Holley’s ability to successfully integrate acquisitions or achieve the expected synergies from such acquisitions; 9) Holley’s ability to maintain relationships with customers and suppliers;</w:t>
      </w:r>
    </w:p>
    <w:p>
      <w:pPr>
        <w:spacing w:after="0" w:line="2" w:lineRule="exact"/>
        <w:rPr>
          <w:sz w:val="20"/>
          <w:szCs w:val="20"/>
          <w:color w:val="auto"/>
        </w:rPr>
      </w:pPr>
    </w:p>
    <w:p>
      <w:pPr>
        <w:ind w:right="20" w:firstLine="8"/>
        <w:spacing w:after="0" w:line="234" w:lineRule="auto"/>
        <w:tabs>
          <w:tab w:leader="none" w:pos="2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Holley’s ability to retain our management and key employees; 11) costs related to Holley being a public company; 12) disruptions to Holley’s operations, including as a result of cybersecurity incidents; 13) changes in applicable laws or regulations; 14) the outcome of any legal proceedings that have been or may be instituted against Holley; 15) general economic and political conditions, including the current macroeconomic environment, political tensions, and war (including the conflict in Ukraine, the conflict in the Middle East, and the possible expansion of such conflicts and potential geopolitical consequences); 16) the possibility that Holley may be adversely affected by other economic, business, and/or competitive factors, including recent events affecting the financial services industry (such as the closures of certain regional banks); 17) Holley’s estimates of its financial performance (e.g., the successful execution of cost saving initiatives); 18) Holley’s ability to anticipate and manage through disruptions and higher costs in manufacturing, supply chain, logistical operations, and shortages of certain company products in distribution channels; 19) Holley’s ability to anticipate, manage, and mitigate the impact of changing trade policies, including tariffs; 20) disruptions and costs associated with doing business in certain countries; 21) Holley’s ability to adopt and react to risks posed by new technology; 22) inability to predict how products will ultimately be used; 23) Holley's ability to anticipate and manage through the impact of elevated interest rate levels, which cause the cost of capital to increase, as well as respond to inflationary pressures and trade restrictions, including tariffs; and 24) other risks and uncertainties set forth in the section entitled “Risk Factors” and “Cautionary Note Regarding Forward-Looking Statements” in the Annual Report on Form 10-K for the year ended December 31, 2025 filed with the U.S. Securities and Exchange Commission (“SEC”) on March 16, 2026, and disclosed in any subsequent filings with the SEC. Although Holley believes the expectations reflected in the forward-looking statements are reasonable, nothing in this press release should be regarded as a representation by any person that the forward-looking statements or projections set forth herein will be achieved or that any of the contemplated results of such forward looking statements or projections will be achieved. There may be additional risks that Holley</w:t>
      </w:r>
    </w:p>
    <w:p>
      <w:pPr>
        <w:sectPr>
          <w:pgSz w:w="11900" w:h="16838" w:orient="portrait"/>
          <w:cols w:equalWidth="0" w:num="1">
            <w:col w:w="11240"/>
          </w:cols>
          <w:pgMar w:left="320" w:top="1147" w:right="339" w:bottom="1440" w:gutter="0" w:footer="0" w:header="0"/>
        </w:sectPr>
      </w:pPr>
    </w:p>
    <w:bookmarkStart w:id="7" w:name="page8"/>
    <w:bookmarkEnd w:id="7"/>
    <w:p>
      <w:pPr>
        <w:jc w:val="both"/>
        <w:spacing w:after="0" w:line="247" w:lineRule="auto"/>
        <w:rPr>
          <w:sz w:val="20"/>
          <w:szCs w:val="20"/>
          <w:color w:val="auto"/>
        </w:rPr>
      </w:pPr>
      <w:r>
        <w:rPr>
          <w:rFonts w:ascii="Times New Roman" w:cs="Times New Roman" w:eastAsia="Times New Roman" w:hAnsi="Times New Roman"/>
          <w:sz w:val="18"/>
          <w:szCs w:val="18"/>
          <w:color w:val="auto"/>
        </w:rPr>
        <w:t>presently does not know or that Holley currently believes are immaterial that could also cause actual results to differ from those contained in the forward-looking statements. You should not place undue reliance on forward-looking statements, which speak only as of the date they are made. Holley undertakes no duty to update these forward-looking statements, except as otherwise required by law.</w:t>
      </w: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Anthony Rozmus / Jenna Kozlowski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Solebury Strategic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203-428-3324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holley@soleburystrat.com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Jordan Moore, jmoore@tinymightyco.com/ Sydney Goggans, sgoggans@tinymightyco.com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Tiny Mighty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615-454-2913</w:t>
      </w:r>
    </w:p>
    <w:p>
      <w:pPr>
        <w:spacing w:after="0" w:line="16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[Financial Tables to Follow]</w:t>
      </w:r>
    </w:p>
    <w:p>
      <w:pPr>
        <w:sectPr>
          <w:pgSz w:w="11900" w:h="16838" w:orient="portrait"/>
          <w:cols w:equalWidth="0" w:num="1">
            <w:col w:w="11120"/>
          </w:cols>
          <w:pgMar w:left="320" w:top="1134" w:right="4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HOLLEY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thirteen weeks ended</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6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200" w:type="dxa"/>
            <w:vAlign w:val="bottom"/>
          </w:tcPr>
          <w:p>
            <w:pPr>
              <w:spacing w:after="0"/>
              <w:rPr>
                <w:sz w:val="16"/>
                <w:szCs w:val="16"/>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180" w:type="dxa"/>
            <w:vAlign w:val="bottom"/>
          </w:tcPr>
          <w:p>
            <w:pPr>
              <w:spacing w:after="0"/>
              <w:rPr>
                <w:sz w:val="16"/>
                <w:szCs w:val="16"/>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3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9"/>
                <w:szCs w:val="19"/>
                <w:color w:val="auto"/>
              </w:rPr>
            </w:pPr>
          </w:p>
        </w:tc>
        <w:tc>
          <w:tcPr>
            <w:tcW w:w="120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6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147,330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153,044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(5,714)</w:t>
            </w: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86,594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88,956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(2,362)</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6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Gross profit</w:t>
            </w: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60,736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64,088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(3,352)</w:t>
            </w: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-5.2 %</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35,402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36,699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(1,297)</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 costs</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Restructuring costs</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89.0 %</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operating income, net</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00" w:type="dxa"/>
            <w:vAlign w:val="bottom"/>
          </w:tcPr>
          <w:p>
            <w:pPr>
              <w:spacing w:after="0"/>
              <w:rPr>
                <w:sz w:val="16"/>
                <w:szCs w:val="16"/>
                <w:color w:val="auto"/>
              </w:rPr>
            </w:pPr>
          </w:p>
        </w:tc>
        <w:tc>
          <w:tcPr>
            <w:tcW w:w="130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37"/>
        </w:trPr>
        <w:tc>
          <w:tcPr>
            <w:tcW w:w="56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operating expense</w:t>
            </w:r>
          </w:p>
        </w:tc>
        <w:tc>
          <w:tcPr>
            <w:tcW w:w="2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43,228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44,745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Operating income</w:t>
            </w:r>
          </w:p>
        </w:tc>
        <w:tc>
          <w:tcPr>
            <w:tcW w:w="2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17,508</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19,343</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(1,835)</w:t>
            </w:r>
          </w:p>
        </w:tc>
        <w:tc>
          <w:tcPr>
            <w:tcW w:w="100" w:type="dxa"/>
            <w:vAlign w:val="bottom"/>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-9.5 %</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warrant liability</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93"/>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fair value of earn-out liability</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tcPr>
          <w:p>
            <w:pPr>
              <w:spacing w:after="0"/>
              <w:rPr>
                <w:sz w:val="16"/>
                <w:szCs w:val="16"/>
                <w:color w:val="auto"/>
              </w:rPr>
            </w:pPr>
          </w:p>
        </w:tc>
        <w:tc>
          <w:tcPr>
            <w:tcW w:w="130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37"/>
        </w:trPr>
        <w:tc>
          <w:tcPr>
            <w:tcW w:w="5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2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15,708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(5,791)</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-36.9 %</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non-operating expense</w:t>
            </w:r>
          </w:p>
        </w:tc>
        <w:tc>
          <w:tcPr>
            <w:tcW w:w="2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8,372</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15,450</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(7,078)</w:t>
            </w:r>
          </w:p>
        </w:tc>
        <w:tc>
          <w:tcPr>
            <w:tcW w:w="100" w:type="dxa"/>
            <w:vAlign w:val="bottom"/>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-45.8 %</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6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5,243</w:t>
            </w: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134.7 %</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w:t>
            </w:r>
          </w:p>
        </w:tc>
        <w:tc>
          <w:tcPr>
            <w:tcW w:w="100" w:type="dxa"/>
            <w:vAlign w:val="bottom"/>
          </w:tcPr>
          <w:p>
            <w:pPr>
              <w:spacing w:after="0"/>
              <w:rPr>
                <w:sz w:val="16"/>
                <w:szCs w:val="16"/>
                <w:color w:val="auto"/>
              </w:rPr>
            </w:pPr>
          </w:p>
        </w:tc>
        <w:tc>
          <w:tcPr>
            <w:tcW w:w="130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37"/>
        </w:trPr>
        <w:tc>
          <w:tcPr>
            <w:tcW w:w="56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4,440</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157.6 %</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56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5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6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2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235.5 %</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comprehensive income</w:t>
            </w: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6,301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3,769</w:t>
            </w:r>
          </w:p>
        </w:tc>
        <w:tc>
          <w:tcPr>
            <w:tcW w:w="1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148.8 %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Common Share Data:</w:t>
            </w:r>
          </w:p>
        </w:tc>
        <w:tc>
          <w:tcPr>
            <w:tcW w:w="2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net income per share</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155.5 %</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net income per share</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152.4 %</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 - basic</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119,807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118,845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0.8 %</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 - diluted</w:t>
            </w:r>
          </w:p>
        </w:tc>
        <w:tc>
          <w:tcPr>
            <w:tcW w:w="2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122,005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119,559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2,446</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nm - not meaningful</w:t>
            </w:r>
          </w:p>
        </w:tc>
        <w:tc>
          <w:tcPr>
            <w:tcW w:w="2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3" w:right="3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HOLLEY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540" w:type="dxa"/>
            <w:vAlign w:val="bottom"/>
          </w:tcPr>
          <w:p>
            <w:pPr>
              <w:spacing w:after="0"/>
              <w:rPr>
                <w:sz w:val="20"/>
                <w:szCs w:val="20"/>
                <w:color w:val="auto"/>
              </w:rPr>
            </w:pPr>
          </w:p>
        </w:tc>
      </w:tr>
      <w:tr>
        <w:trPr>
          <w:trHeight w:val="27"/>
        </w:trPr>
        <w:tc>
          <w:tcPr>
            <w:tcW w:w="1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4"/>
        </w:trPr>
        <w:tc>
          <w:tcPr>
            <w:tcW w:w="1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260" w:type="dxa"/>
            <w:vAlign w:val="bottom"/>
          </w:tcPr>
          <w:p>
            <w:pPr>
              <w:spacing w:after="0"/>
              <w:rPr>
                <w:sz w:val="18"/>
                <w:szCs w:val="18"/>
                <w:color w:val="auto"/>
              </w:rPr>
            </w:pPr>
          </w:p>
        </w:tc>
        <w:tc>
          <w:tcPr>
            <w:tcW w:w="15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6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16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16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9"/>
              </w:rPr>
              <w:t>Assets</w:t>
            </w:r>
          </w:p>
        </w:tc>
        <w:tc>
          <w:tcPr>
            <w:tcW w:w="2880" w:type="dxa"/>
            <w:vAlign w:val="bottom"/>
            <w:tcBorders>
              <w:bottom w:val="single" w:sz="8" w:color="CCEEFF"/>
            </w:tcBorders>
            <w:gridSpan w:val="2"/>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r>
      <w:tr>
        <w:trPr>
          <w:trHeight w:val="243"/>
        </w:trPr>
        <w:tc>
          <w:tcPr>
            <w:tcW w:w="61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33,066</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37,231</w:t>
            </w:r>
          </w:p>
        </w:tc>
      </w:tr>
      <w:tr>
        <w:trPr>
          <w:trHeight w:val="27"/>
        </w:trPr>
        <w:tc>
          <w:tcPr>
            <w:tcW w:w="1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5"/>
        </w:trPr>
        <w:tc>
          <w:tcPr>
            <w:tcW w:w="61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less allowance for credit losses of $2,136 and $1,856,</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41"/>
        </w:trPr>
        <w:tc>
          <w:tcPr>
            <w:tcW w:w="614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59,075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57,895</w:t>
            </w:r>
          </w:p>
        </w:tc>
      </w:tr>
      <w:tr>
        <w:trPr>
          <w:trHeight w:val="243"/>
        </w:trPr>
        <w:tc>
          <w:tcPr>
            <w:tcW w:w="61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205,661</w:t>
            </w:r>
          </w:p>
        </w:tc>
      </w:tr>
      <w:tr>
        <w:trPr>
          <w:trHeight w:val="27"/>
        </w:trPr>
        <w:tc>
          <w:tcPr>
            <w:tcW w:w="1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614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15,374</w:t>
            </w:r>
          </w:p>
        </w:tc>
      </w:tr>
      <w:tr>
        <w:trPr>
          <w:trHeight w:val="237"/>
        </w:trPr>
        <w:tc>
          <w:tcPr>
            <w:tcW w:w="61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317,923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316,161</w:t>
            </w:r>
          </w:p>
        </w:tc>
      </w:tr>
      <w:tr>
        <w:trPr>
          <w:trHeight w:val="27"/>
        </w:trPr>
        <w:tc>
          <w:tcPr>
            <w:tcW w:w="1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14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45,127</w:t>
            </w:r>
          </w:p>
        </w:tc>
      </w:tr>
      <w:tr>
        <w:trPr>
          <w:trHeight w:val="243"/>
        </w:trPr>
        <w:tc>
          <w:tcPr>
            <w:tcW w:w="61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372,340</w:t>
            </w:r>
          </w:p>
        </w:tc>
      </w:tr>
      <w:tr>
        <w:trPr>
          <w:trHeight w:val="27"/>
        </w:trPr>
        <w:tc>
          <w:tcPr>
            <w:tcW w:w="1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14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intangibles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396,910</w:t>
            </w:r>
          </w:p>
        </w:tc>
      </w:tr>
      <w:tr>
        <w:trPr>
          <w:trHeight w:val="243"/>
        </w:trPr>
        <w:tc>
          <w:tcPr>
            <w:tcW w:w="61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3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33,415</w:t>
            </w:r>
          </w:p>
        </w:tc>
      </w:tr>
      <w:tr>
        <w:trPr>
          <w:trHeight w:val="27"/>
        </w:trPr>
        <w:tc>
          <w:tcPr>
            <w:tcW w:w="16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88"/>
        </w:trPr>
        <w:tc>
          <w:tcPr>
            <w:tcW w:w="6140" w:type="dxa"/>
            <w:vAlign w:val="bottom"/>
            <w:tcBorders>
              <w:bottom w:val="single" w:sz="8" w:color="CCEEFF"/>
            </w:tcBorders>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1,178,809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1,163,953</w:t>
            </w: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1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50"/>
        </w:trPr>
        <w:tc>
          <w:tcPr>
            <w:tcW w:w="1620" w:type="dxa"/>
            <w:vAlign w:val="bottom"/>
            <w:shd w:val="clear" w:color="auto" w:fill="CCEEFF"/>
          </w:tcPr>
          <w:p>
            <w:pPr>
              <w:spacing w:after="0"/>
              <w:rPr>
                <w:sz w:val="21"/>
                <w:szCs w:val="21"/>
                <w:color w:val="auto"/>
              </w:rPr>
            </w:pPr>
          </w:p>
        </w:tc>
        <w:tc>
          <w:tcPr>
            <w:tcW w:w="4520" w:type="dxa"/>
            <w:vAlign w:val="bottom"/>
            <w:gridSpan w:val="4"/>
            <w:shd w:val="clear" w:color="auto" w:fill="CCEEFF"/>
          </w:tcPr>
          <w:p>
            <w:pPr>
              <w:jc w:val="center"/>
              <w:ind w:right="1740"/>
              <w:spacing w:after="0" w:line="202"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r>
      <w:tr>
        <w:trPr>
          <w:trHeight w:val="243"/>
        </w:trPr>
        <w:tc>
          <w:tcPr>
            <w:tcW w:w="16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780" w:type="dxa"/>
            <w:vAlign w:val="bottom"/>
            <w:tcBorders>
              <w:top w:val="single" w:sz="8" w:color="auto"/>
            </w:tcBorders>
            <w:gridSpan w:val="3"/>
          </w:tcPr>
          <w:p>
            <w:pPr>
              <w:spacing w:after="0"/>
              <w:rPr>
                <w:sz w:val="21"/>
                <w:szCs w:val="21"/>
                <w:color w:val="auto"/>
              </w:rPr>
            </w:pPr>
          </w:p>
        </w:tc>
        <w:tc>
          <w:tcPr>
            <w:tcW w:w="174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50,782</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60,121</w:t>
            </w:r>
          </w:p>
        </w:tc>
      </w:tr>
      <w:tr>
        <w:trPr>
          <w:trHeight w:val="27"/>
        </w:trPr>
        <w:tc>
          <w:tcPr>
            <w:tcW w:w="1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14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48,316</w:t>
            </w:r>
          </w:p>
        </w:tc>
      </w:tr>
      <w:tr>
        <w:trPr>
          <w:trHeight w:val="243"/>
        </w:trPr>
        <w:tc>
          <w:tcPr>
            <w:tcW w:w="61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3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7"/>
        </w:trPr>
        <w:tc>
          <w:tcPr>
            <w:tcW w:w="1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614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6,571</w:t>
            </w:r>
          </w:p>
        </w:tc>
      </w:tr>
      <w:tr>
        <w:trPr>
          <w:trHeight w:val="237"/>
        </w:trPr>
        <w:tc>
          <w:tcPr>
            <w:tcW w:w="61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100,310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115,123</w:t>
            </w:r>
          </w:p>
        </w:tc>
      </w:tr>
      <w:tr>
        <w:trPr>
          <w:trHeight w:val="27"/>
        </w:trPr>
        <w:tc>
          <w:tcPr>
            <w:tcW w:w="1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14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516,078</w:t>
            </w:r>
          </w:p>
        </w:tc>
      </w:tr>
      <w:tr>
        <w:trPr>
          <w:trHeight w:val="243"/>
        </w:trPr>
        <w:tc>
          <w:tcPr>
            <w:tcW w:w="61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3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r>
      <w:tr>
        <w:trPr>
          <w:trHeight w:val="27"/>
        </w:trPr>
        <w:tc>
          <w:tcPr>
            <w:tcW w:w="1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14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Earn-out liability</w:t>
            </w: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r>
      <w:tr>
        <w:trPr>
          <w:trHeight w:val="243"/>
        </w:trPr>
        <w:tc>
          <w:tcPr>
            <w:tcW w:w="61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3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46,540</w:t>
            </w:r>
          </w:p>
        </w:tc>
      </w:tr>
      <w:tr>
        <w:trPr>
          <w:trHeight w:val="27"/>
        </w:trPr>
        <w:tc>
          <w:tcPr>
            <w:tcW w:w="1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614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33,218</w:t>
            </w:r>
          </w:p>
        </w:tc>
      </w:tr>
      <w:tr>
        <w:trPr>
          <w:trHeight w:val="237"/>
        </w:trPr>
        <w:tc>
          <w:tcPr>
            <w:tcW w:w="61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722,848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715,028</w:t>
            </w:r>
          </w:p>
        </w:tc>
      </w:tr>
      <w:tr>
        <w:trPr>
          <w:trHeight w:val="27"/>
        </w:trPr>
        <w:tc>
          <w:tcPr>
            <w:tcW w:w="1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16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43"/>
        </w:trPr>
        <w:tc>
          <w:tcPr>
            <w:tcW w:w="61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3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1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14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384,873</w:t>
            </w:r>
          </w:p>
        </w:tc>
      </w:tr>
      <w:tr>
        <w:trPr>
          <w:trHeight w:val="243"/>
        </w:trPr>
        <w:tc>
          <w:tcPr>
            <w:tcW w:w="61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7"/>
        </w:trPr>
        <w:tc>
          <w:tcPr>
            <w:tcW w:w="1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614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71,177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63,920</w:t>
            </w:r>
          </w:p>
        </w:tc>
      </w:tr>
      <w:tr>
        <w:trPr>
          <w:trHeight w:val="237"/>
        </w:trPr>
        <w:tc>
          <w:tcPr>
            <w:tcW w:w="61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455,961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448,925</w:t>
            </w:r>
          </w:p>
        </w:tc>
      </w:tr>
      <w:tr>
        <w:trPr>
          <w:trHeight w:val="27"/>
        </w:trPr>
        <w:tc>
          <w:tcPr>
            <w:tcW w:w="16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88"/>
        </w:trPr>
        <w:tc>
          <w:tcPr>
            <w:tcW w:w="6140" w:type="dxa"/>
            <w:vAlign w:val="bottom"/>
            <w:tcBorders>
              <w:bottom w:val="single" w:sz="8" w:color="CCEEFF"/>
            </w:tcBorders>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1,178,809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1,163,953</w:t>
            </w: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9820"/>
          </w:cols>
          <w:pgMar w:left="1040" w:top="1143" w:right="10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HOLLEY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For the thirteen weeks ended</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4"/>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260" w:type="dxa"/>
            <w:vAlign w:val="bottom"/>
          </w:tcPr>
          <w:p>
            <w:pPr>
              <w:spacing w:after="0"/>
              <w:rPr>
                <w:sz w:val="18"/>
                <w:szCs w:val="18"/>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30,</w:t>
            </w:r>
          </w:p>
        </w:tc>
      </w:tr>
      <w:tr>
        <w:trPr>
          <w:trHeight w:val="238"/>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5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w w:val="99"/>
              </w:rPr>
              <w:t>Operating Activities</w:t>
            </w:r>
          </w:p>
        </w:tc>
        <w:tc>
          <w:tcPr>
            <w:tcW w:w="6200" w:type="dxa"/>
            <w:vAlign w:val="bottom"/>
            <w:tcBorders>
              <w:bottom w:val="single" w:sz="8" w:color="CCEEFF"/>
            </w:tcBorders>
            <w:gridSpan w:val="2"/>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7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7,257</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1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to net cash</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(25,127)</w:t>
            </w:r>
          </w:p>
        </w:tc>
        <w:tc>
          <w:tcPr>
            <w:tcW w:w="100" w:type="dxa"/>
            <w:vAlign w:val="bottom"/>
          </w:tcPr>
          <w:p>
            <w:pPr>
              <w:spacing w:after="0"/>
              <w:rPr>
                <w:sz w:val="21"/>
                <w:szCs w:val="2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5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3"/>
        </w:trPr>
        <w:tc>
          <w:tcPr>
            <w:tcW w:w="20" w:type="dxa"/>
            <w:vAlign w:val="bottom"/>
            <w:shd w:val="clear" w:color="auto" w:fill="CCEEFF"/>
          </w:tcPr>
          <w:p>
            <w:pPr>
              <w:spacing w:after="0"/>
              <w:rPr>
                <w:sz w:val="17"/>
                <w:szCs w:val="17"/>
                <w:color w:val="auto"/>
              </w:rPr>
            </w:pPr>
          </w:p>
        </w:tc>
        <w:tc>
          <w:tcPr>
            <w:tcW w:w="7760" w:type="dxa"/>
            <w:vAlign w:val="bottom"/>
            <w:gridSpan w:val="5"/>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Investing Activities</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5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7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Capital expenditures, net of dispositions</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license agreement</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7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Business acquisition, net of cash acquired</w:t>
            </w:r>
          </w:p>
        </w:tc>
        <w:tc>
          <w:tcPr>
            <w:tcW w:w="2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44"/>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7760" w:type="dxa"/>
            <w:vAlign w:val="bottom"/>
            <w:tcBorders>
              <w:top w:val="single" w:sz="8" w:color="CCEEFF"/>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7760" w:type="dxa"/>
            <w:vAlign w:val="bottom"/>
            <w:gridSpan w:val="5"/>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Financing Activities</w:t>
            </w: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15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Net change in debt</w:t>
            </w:r>
          </w:p>
        </w:tc>
        <w:tc>
          <w:tcPr>
            <w:tcW w:w="6220" w:type="dxa"/>
            <w:vAlign w:val="bottom"/>
            <w:tcBorders>
              <w:top w:val="single" w:sz="8" w:color="CCEEFF"/>
            </w:tcBorders>
            <w:gridSpan w:val="3"/>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3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3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00" w:type="dxa"/>
            <w:vAlign w:val="bottom"/>
            <w:tcBorders>
              <w:top w:val="single" w:sz="8" w:color="CCEEFF"/>
            </w:tcBorders>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76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from stock-based award activities</w:t>
            </w: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7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56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7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Effect of foreign currency rate fluctuations on cash</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Pr>
          <w:p>
            <w:pPr>
              <w:spacing w:after="0"/>
              <w:rPr>
                <w:sz w:val="21"/>
                <w:szCs w:val="2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5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50"/>
        </w:trPr>
        <w:tc>
          <w:tcPr>
            <w:tcW w:w="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56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(17,019)</w:t>
            </w:r>
          </w:p>
        </w:tc>
        <w:tc>
          <w:tcPr>
            <w:tcW w:w="1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56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7760" w:type="dxa"/>
            <w:vAlign w:val="bottom"/>
            <w:gridSpan w:val="5"/>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4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5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76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56,087</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63"/>
        </w:trPr>
        <w:tc>
          <w:tcPr>
            <w:tcW w:w="20" w:type="dxa"/>
            <w:vAlign w:val="bottom"/>
          </w:tcPr>
          <w:p>
            <w:pPr>
              <w:spacing w:after="0"/>
              <w:rPr>
                <w:sz w:val="22"/>
                <w:szCs w:val="22"/>
                <w:color w:val="auto"/>
              </w:rPr>
            </w:pPr>
          </w:p>
        </w:tc>
        <w:tc>
          <w:tcPr>
            <w:tcW w:w="7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33,066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39,068</w:t>
            </w:r>
          </w:p>
        </w:tc>
        <w:tc>
          <w:tcPr>
            <w:tcW w:w="100" w:type="dxa"/>
            <w:vAlign w:val="bottom"/>
          </w:tcPr>
          <w:p>
            <w:pPr>
              <w:spacing w:after="0"/>
              <w:rPr>
                <w:sz w:val="22"/>
                <w:szCs w:val="22"/>
                <w:color w:val="auto"/>
              </w:rPr>
            </w:pPr>
          </w:p>
        </w:tc>
      </w:tr>
      <w:tr>
        <w:trPr>
          <w:trHeight w:val="21"/>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240"/>
          </w:cols>
          <w:pgMar w:left="320" w:top="1143" w:right="339" w:bottom="1440" w:gutter="0" w:footer="0" w:header="0"/>
        </w:sectPr>
      </w:pPr>
    </w:p>
    <w:bookmarkStart w:id="11" w:name="page12"/>
    <w:bookmarkEnd w:id="11"/>
    <w:p>
      <w:pPr>
        <w:ind w:right="20"/>
        <w:spacing w:after="0" w:line="255" w:lineRule="auto"/>
        <w:rPr>
          <w:sz w:val="20"/>
          <w:szCs w:val="20"/>
          <w:color w:val="auto"/>
        </w:rPr>
      </w:pPr>
      <w:r>
        <w:rPr>
          <w:rFonts w:ascii="Times New Roman" w:cs="Times New Roman" w:eastAsia="Times New Roman" w:hAnsi="Times New Roman"/>
          <w:sz w:val="18"/>
          <w:szCs w:val="18"/>
          <w:color w:val="auto"/>
        </w:rPr>
        <w:t>We present certain information with respect to EBITDA, Adjusted EBITDA, Adjusted EBITDA Margin, Bank-adjusted EBITDA Leverage Ratio, Adjusted Net Income, Adjusted Diluted EPS and Free Cash Flow as supplemental measures of our operating performance and believe that such non-GAAP financial measures are useful to investors in evaluating our financial performance and in comparing our financial results between periods because they exclude the impact of certain items that we do not consider indicative of our ongoing operating performance. We believe that the presentation of these non-GAAP financial measures enhances the usefulness of our financial information by presenting measures that management uses internally to establish forecasts, budgets, and operational goals to manage and monitor our business. We believe that these non-GAAP financial measures help to depict a more realistic representation of the performance of our underlying business, enabling us to evaluate and plan more effectively for the future.</w:t>
      </w:r>
    </w:p>
    <w:p>
      <w:pPr>
        <w:spacing w:after="0" w:line="14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EBITDA, Adjusted EBITDA, Adjusted EBITDA Margin, Bank-adjusted EBITDA Leverage Ratio, Adjusted Net Income, Adjusted Diluted EPS and Free Cash Flow are not prepared in accordance with generally accepted accounting principles (“GAAP”) and may be different from non-GAAP and other financial measures used by other companies. These measures should not be considered as measures of financial performance under GAAP, and the items excluded from or included in these metrics are significant components in understanding and assessing our financial performance. These metrics should not be considered as alternatives to net income, gross profit, net cash provided by operating activities, or any other performance measures, as applicable, derived in accordance with GAAP.</w:t>
      </w:r>
    </w:p>
    <w:p>
      <w:pPr>
        <w:spacing w:after="0" w:line="16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define EBITDA as earnings before depreciation, amortization of intangible assets, interest expense, and income tax expense. We define Adjusted EBITDA as EBITDA adjusted to exclude, to the extent applicable, restructuring costs, which includes operational restructuring and integration activities, termination related benefits, facilities relocation, and executive transition costs; changes in the fair value of the warrant liability; changes in the fair value of the earn-out liability; equity-based compensation expense; gain or loss on the early extinguishment of debt; notable items that we do not believe are reflective of our underlying operating performance, including litigation settlements and certain costs incurred for advisory services related to identifying performance initiatives; and other expenses or gains, which includes gains or losses from disposal of fixed assets, franchise taxes, and gains or losses from foreign currency transactions. We define Adjusted EBITDA Margin as Adjusted EBITDA divided by net sales.</w:t>
      </w:r>
    </w:p>
    <w:p>
      <w:pPr>
        <w:sectPr>
          <w:pgSz w:w="11900" w:h="16838" w:orient="portrait"/>
          <w:cols w:equalWidth="0" w:num="1">
            <w:col w:w="11240"/>
          </w:cols>
          <w:pgMar w:left="320" w:top="114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HOLLEY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AND RECONCILIATION OF NON-GAAP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6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For the thirteen weeks ended</w:t>
            </w:r>
          </w:p>
        </w:tc>
      </w:tr>
      <w:tr>
        <w:trPr>
          <w:trHeight w:val="27"/>
        </w:trPr>
        <w:tc>
          <w:tcPr>
            <w:tcW w:w="7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4"/>
        </w:trPr>
        <w:tc>
          <w:tcPr>
            <w:tcW w:w="7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280" w:type="dxa"/>
            <w:vAlign w:val="bottom"/>
          </w:tcPr>
          <w:p>
            <w:pPr>
              <w:spacing w:after="0"/>
              <w:rPr>
                <w:sz w:val="18"/>
                <w:szCs w:val="18"/>
                <w:color w:val="auto"/>
              </w:rPr>
            </w:pP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30,</w:t>
            </w:r>
          </w:p>
        </w:tc>
      </w:tr>
      <w:tr>
        <w:trPr>
          <w:trHeight w:val="238"/>
        </w:trPr>
        <w:tc>
          <w:tcPr>
            <w:tcW w:w="7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7"/>
        </w:trPr>
        <w:tc>
          <w:tcPr>
            <w:tcW w:w="7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3"/>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7,257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2,817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7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9,917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15,708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tcPr>
          <w:p>
            <w:pPr>
              <w:spacing w:after="0"/>
              <w:rPr>
                <w:sz w:val="21"/>
                <w:szCs w:val="21"/>
                <w:color w:val="auto"/>
              </w:rPr>
            </w:pPr>
          </w:p>
        </w:tc>
      </w:tr>
      <w:tr>
        <w:trPr>
          <w:trHeight w:val="27"/>
        </w:trPr>
        <w:tc>
          <w:tcPr>
            <w:tcW w:w="7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2,299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3,532</w:t>
            </w:r>
          </w:p>
        </w:tc>
        <w:tc>
          <w:tcPr>
            <w:tcW w:w="100" w:type="dxa"/>
            <w:vAlign w:val="bottom"/>
          </w:tcPr>
          <w:p>
            <w:pPr>
              <w:spacing w:after="0"/>
              <w:rPr>
                <w:sz w:val="21"/>
                <w:szCs w:val="21"/>
                <w:color w:val="auto"/>
              </w:rPr>
            </w:pPr>
          </w:p>
        </w:tc>
      </w:tr>
      <w:tr>
        <w:trPr>
          <w:trHeight w:val="27"/>
        </w:trPr>
        <w:tc>
          <w:tcPr>
            <w:tcW w:w="7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3"/>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25,004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25,432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Restructuring costs</w:t>
            </w:r>
          </w:p>
        </w:tc>
        <w:tc>
          <w:tcPr>
            <w:tcW w:w="28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21"/>
                <w:szCs w:val="21"/>
                <w:color w:val="auto"/>
              </w:rPr>
            </w:pPr>
          </w:p>
        </w:tc>
      </w:tr>
      <w:tr>
        <w:trPr>
          <w:trHeight w:val="27"/>
        </w:trPr>
        <w:tc>
          <w:tcPr>
            <w:tcW w:w="7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earn-out liability</w:t>
            </w:r>
          </w:p>
        </w:tc>
        <w:tc>
          <w:tcPr>
            <w:tcW w:w="28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21"/>
                <w:szCs w:val="21"/>
                <w:color w:val="auto"/>
              </w:rPr>
            </w:pPr>
          </w:p>
        </w:tc>
      </w:tr>
      <w:tr>
        <w:trPr>
          <w:trHeight w:val="27"/>
        </w:trPr>
        <w:tc>
          <w:tcPr>
            <w:tcW w:w="7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Notable items</w:t>
            </w:r>
          </w:p>
        </w:tc>
        <w:tc>
          <w:tcPr>
            <w:tcW w:w="28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r>
      <w:tr>
        <w:trPr>
          <w:trHeight w:val="27"/>
        </w:trPr>
        <w:tc>
          <w:tcPr>
            <w:tcW w:w="7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7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6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27,321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27,290</w:t>
            </w:r>
          </w:p>
        </w:tc>
        <w:tc>
          <w:tcPr>
            <w:tcW w:w="100" w:type="dxa"/>
            <w:vAlign w:val="bottom"/>
          </w:tcPr>
          <w:p>
            <w:pPr>
              <w:spacing w:after="0"/>
              <w:rPr>
                <w:sz w:val="22"/>
                <w:szCs w:val="22"/>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44"/>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147,330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153,044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margin</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r>
      <w:tr>
        <w:trPr>
          <w:trHeight w:val="27"/>
        </w:trPr>
        <w:tc>
          <w:tcPr>
            <w:tcW w:w="7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2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21"/>
                <w:szCs w:val="21"/>
                <w:color w:val="auto"/>
              </w:rPr>
            </w:pPr>
          </w:p>
        </w:tc>
      </w:tr>
      <w:tr>
        <w:trPr>
          <w:trHeight w:val="27"/>
        </w:trPr>
        <w:tc>
          <w:tcPr>
            <w:tcW w:w="76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ectPr>
          <w:pgSz w:w="11900" w:h="16838" w:orient="portrait"/>
          <w:cols w:equalWidth="0" w:num="1">
            <w:col w:w="11240"/>
          </w:cols>
          <w:pgMar w:left="320" w:top="1143" w:right="339" w:bottom="1440" w:gutter="0" w:footer="0" w:header="0"/>
        </w:sectPr>
      </w:pPr>
    </w:p>
    <w:bookmarkStart w:id="13" w:name="page14"/>
    <w:bookmarkEnd w:id="13"/>
    <w:p>
      <w:pPr>
        <w:spacing w:after="0" w:line="282" w:lineRule="auto"/>
        <w:rPr>
          <w:sz w:val="20"/>
          <w:szCs w:val="20"/>
          <w:color w:val="auto"/>
        </w:rPr>
      </w:pPr>
      <w:r>
        <w:rPr>
          <w:rFonts w:ascii="Times New Roman" w:cs="Times New Roman" w:eastAsia="Times New Roman" w:hAnsi="Times New Roman"/>
          <w:sz w:val="18"/>
          <w:szCs w:val="18"/>
          <w:color w:val="auto"/>
        </w:rPr>
        <w:t>We define the Bank-adjusted EBITDA Leverage Ratio as Net Debt divided by our Bank-adjusted EBITDA for the trailing twelve-month ("TTM") period, as defined under our Credit Agreement entered into in November 2021, as amended, which is used in calculating covenant compliance.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TTM March 29, 2026</w:t>
            </w:r>
          </w:p>
        </w:tc>
        <w:tc>
          <w:tcPr>
            <w:tcW w:w="16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7"/>
        </w:trPr>
        <w:tc>
          <w:tcPr>
            <w:tcW w:w="6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3"/>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19,175</w:t>
            </w: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51,833</w:t>
            </w:r>
          </w:p>
        </w:tc>
      </w:tr>
      <w:tr>
        <w:trPr>
          <w:trHeight w:val="243"/>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9,458</w:t>
            </w: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9,704</w:t>
            </w:r>
          </w:p>
        </w:tc>
      </w:tr>
      <w:tr>
        <w:trPr>
          <w:trHeight w:val="243"/>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13,778</w:t>
            </w:r>
          </w:p>
        </w:tc>
      </w:tr>
      <w:tr>
        <w:trPr>
          <w:trHeight w:val="27"/>
        </w:trPr>
        <w:tc>
          <w:tcPr>
            <w:tcW w:w="6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3"/>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103,520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103,948</w:t>
            </w:r>
          </w:p>
        </w:tc>
      </w:tr>
      <w:tr>
        <w:trPr>
          <w:trHeight w:val="243"/>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8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earn-out liability</w:t>
            </w:r>
          </w:p>
        </w:tc>
        <w:tc>
          <w:tcPr>
            <w:tcW w:w="1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r>
      <w:tr>
        <w:trPr>
          <w:trHeight w:val="243"/>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8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8,163</w:t>
            </w: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43"/>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Restructuring costs</w:t>
            </w:r>
          </w:p>
        </w:tc>
        <w:tc>
          <w:tcPr>
            <w:tcW w:w="18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w:t>
            </w: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Notable items</w:t>
            </w:r>
          </w:p>
        </w:tc>
        <w:tc>
          <w:tcPr>
            <w:tcW w:w="1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w:t>
            </w:r>
          </w:p>
        </w:tc>
      </w:tr>
      <w:tr>
        <w:trPr>
          <w:trHeight w:val="243"/>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w:t>
            </w:r>
          </w:p>
        </w:tc>
        <w:tc>
          <w:tcPr>
            <w:tcW w:w="18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r>
      <w:tr>
        <w:trPr>
          <w:trHeight w:val="27"/>
        </w:trPr>
        <w:tc>
          <w:tcPr>
            <w:tcW w:w="6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3"/>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124,052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124,021</w:t>
            </w:r>
          </w:p>
        </w:tc>
      </w:tr>
      <w:tr>
        <w:trPr>
          <w:trHeight w:val="243"/>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permitted charges</w:t>
            </w:r>
          </w:p>
        </w:tc>
        <w:tc>
          <w:tcPr>
            <w:tcW w:w="18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7,265</w:t>
            </w:r>
          </w:p>
        </w:tc>
      </w:tr>
      <w:tr>
        <w:trPr>
          <w:trHeight w:val="27"/>
        </w:trPr>
        <w:tc>
          <w:tcPr>
            <w:tcW w:w="6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89"/>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per Credit Agreement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133,023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131,286</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543,690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529,557</w:t>
            </w: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permitted cash and cash equivalents</w:t>
            </w:r>
          </w:p>
        </w:tc>
        <w:tc>
          <w:tcPr>
            <w:tcW w:w="18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37,231</w:t>
            </w:r>
          </w:p>
        </w:tc>
      </w:tr>
      <w:tr>
        <w:trPr>
          <w:trHeight w:val="26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indebtedness per Credit Agreement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510,624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492,326</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37"/>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Bank-adjusted EBITDA Leverage Ratio</w:t>
            </w:r>
          </w:p>
        </w:tc>
        <w:tc>
          <w:tcPr>
            <w:tcW w:w="180" w:type="dxa"/>
            <w:vAlign w:val="bottom"/>
            <w:shd w:val="clear" w:color="auto" w:fill="CCEEFF"/>
          </w:tcPr>
          <w:p>
            <w:pPr>
              <w:spacing w:after="0"/>
              <w:rPr>
                <w:sz w:val="20"/>
                <w:szCs w:val="20"/>
                <w:color w:val="auto"/>
              </w:rPr>
            </w:pPr>
          </w:p>
        </w:tc>
        <w:tc>
          <w:tcPr>
            <w:tcW w:w="2020" w:type="dxa"/>
            <w:vAlign w:val="bottom"/>
            <w:gridSpan w:val="2"/>
            <w:shd w:val="clear" w:color="auto" w:fill="CCEEFF"/>
          </w:tcPr>
          <w:p>
            <w:pPr>
              <w:ind w:left="1460"/>
              <w:spacing w:after="0"/>
              <w:rPr>
                <w:sz w:val="20"/>
                <w:szCs w:val="20"/>
                <w:color w:val="auto"/>
              </w:rPr>
            </w:pPr>
            <w:r>
              <w:rPr>
                <w:rFonts w:ascii="Times New Roman" w:cs="Times New Roman" w:eastAsia="Times New Roman" w:hAnsi="Times New Roman"/>
                <w:sz w:val="18"/>
                <w:szCs w:val="18"/>
                <w:b w:val="1"/>
                <w:bCs w:val="1"/>
                <w:color w:val="auto"/>
              </w:rPr>
              <w:t>3.84 x</w:t>
            </w:r>
          </w:p>
        </w:tc>
        <w:tc>
          <w:tcPr>
            <w:tcW w:w="16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 x</w:t>
            </w:r>
          </w:p>
        </w:tc>
      </w:tr>
      <w:tr>
        <w:trPr>
          <w:trHeight w:val="27"/>
        </w:trPr>
        <w:tc>
          <w:tcPr>
            <w:tcW w:w="6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ectPr>
          <w:pgSz w:w="11900" w:h="16838" w:orient="portrait"/>
          <w:cols w:equalWidth="0" w:num="1">
            <w:col w:w="11080"/>
          </w:cols>
          <w:pgMar w:left="320" w:top="1147" w:right="499" w:bottom="1440" w:gutter="0" w:footer="0" w:header="0"/>
        </w:sectPr>
      </w:pPr>
    </w:p>
    <w:bookmarkStart w:id="14" w:name="page15"/>
    <w:bookmarkEnd w:id="14"/>
    <w:p>
      <w:pPr>
        <w:ind w:right="260"/>
        <w:spacing w:after="0" w:line="258" w:lineRule="auto"/>
        <w:rPr>
          <w:sz w:val="20"/>
          <w:szCs w:val="20"/>
          <w:color w:val="auto"/>
        </w:rPr>
      </w:pPr>
      <w:r>
        <w:rPr>
          <w:rFonts w:ascii="Times New Roman" w:cs="Times New Roman" w:eastAsia="Times New Roman" w:hAnsi="Times New Roman"/>
          <w:sz w:val="18"/>
          <w:szCs w:val="18"/>
          <w:color w:val="auto"/>
        </w:rPr>
        <w:t>We define Adjusted Net Income as earnings excluding the after-tax effect of changes in the fair value of the warrant liability, changes in the fair value of the earn-out liability, write-downs of assets held-for-sale, and gain or loss on the early extinguishment of debt. We define Adjusted Diluted EPS as Adjusted Net Income on a per share basis. Management uses these measures to focus on on-going operations and believes that it is useful to investors because it enables them to perform meaningful comparisons of past and present consolidated operating results. We believe that using this information, along with net income and net income per diluted share, provides for a more complete analysis of the results of operations.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6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For the thirteen weeks ended</w:t>
            </w:r>
          </w:p>
        </w:tc>
      </w:tr>
      <w:tr>
        <w:trPr>
          <w:trHeight w:val="27"/>
        </w:trPr>
        <w:tc>
          <w:tcPr>
            <w:tcW w:w="7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4"/>
        </w:trPr>
        <w:tc>
          <w:tcPr>
            <w:tcW w:w="7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26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March 30,</w:t>
            </w:r>
          </w:p>
        </w:tc>
      </w:tr>
      <w:tr>
        <w:trPr>
          <w:trHeight w:val="238"/>
        </w:trPr>
        <w:tc>
          <w:tcPr>
            <w:tcW w:w="7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7"/>
        </w:trPr>
        <w:tc>
          <w:tcPr>
            <w:tcW w:w="7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3"/>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7,257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 items:</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Adjust for: change in fair value of warrant liability</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Adjust for: change in fair value of earn-out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731520</wp:posOffset>
            </wp:positionV>
            <wp:extent cx="7132320" cy="179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Diluted Share</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Special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Adjust for: change in fair value of warrant liability</w:t>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Adjusted Diluted EPS</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70"/>
        </w:trPr>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7"/>
        </w:trPr>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5,712</w:t>
            </w:r>
          </w:p>
        </w:tc>
        <w:tc>
          <w:tcPr>
            <w:tcW w:w="80" w:type="dxa"/>
            <w:vAlign w:val="bottom"/>
          </w:tcPr>
          <w:p>
            <w:pPr>
              <w:spacing w:after="0"/>
              <w:rPr>
                <w:sz w:val="20"/>
                <w:szCs w:val="20"/>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2,559</w:t>
            </w:r>
          </w:p>
        </w:tc>
      </w:tr>
      <w:tr>
        <w:trPr>
          <w:trHeight w:val="27"/>
        </w:trPr>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r>
      <w:tr>
        <w:trPr>
          <w:trHeight w:val="533"/>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40" w:type="dxa"/>
            <w:vAlign w:val="bottom"/>
            <w:gridSpan w:val="5"/>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For the thirteen weeks ended</w:t>
            </w:r>
          </w:p>
        </w:tc>
      </w:tr>
      <w:tr>
        <w:trPr>
          <w:trHeight w:val="27"/>
        </w:trPr>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4"/>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March 30,</w:t>
            </w:r>
          </w:p>
        </w:tc>
      </w:tr>
      <w:tr>
        <w:trPr>
          <w:trHeight w:val="238"/>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0.06</w:t>
            </w:r>
          </w:p>
        </w:tc>
        <w:tc>
          <w:tcPr>
            <w:tcW w:w="80" w:type="dxa"/>
            <w:vAlign w:val="bottom"/>
          </w:tcPr>
          <w:p>
            <w:pPr>
              <w:spacing w:after="0"/>
              <w:rPr>
                <w:sz w:val="20"/>
                <w:szCs w:val="20"/>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0.02</w:t>
            </w:r>
          </w:p>
        </w:tc>
      </w:tr>
      <w:tr>
        <w:trPr>
          <w:trHeight w:val="540"/>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6"/>
        </w:trPr>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0.05</w:t>
            </w:r>
          </w:p>
        </w:tc>
        <w:tc>
          <w:tcPr>
            <w:tcW w:w="80" w:type="dxa"/>
            <w:vAlign w:val="bottom"/>
          </w:tcPr>
          <w:p>
            <w:pPr>
              <w:spacing w:after="0"/>
              <w:rPr>
                <w:sz w:val="20"/>
                <w:szCs w:val="20"/>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0.02</w:t>
            </w:r>
          </w:p>
        </w:tc>
      </w:tr>
      <w:tr>
        <w:trPr>
          <w:trHeight w:val="27"/>
        </w:trPr>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100" w:space="720"/>
            <w:col w:w="3420"/>
          </w:cols>
          <w:pgMar w:left="320" w:top="1147" w:right="339" w:bottom="1440" w:gutter="0" w:footer="0" w:header="0"/>
          <w:type w:val="continuous"/>
        </w:sectPr>
      </w:pPr>
    </w:p>
    <w:bookmarkStart w:id="15" w:name="page16"/>
    <w:bookmarkEnd w:id="15"/>
    <w:p>
      <w:pPr>
        <w:ind w:right="280"/>
        <w:spacing w:after="0" w:line="266" w:lineRule="auto"/>
        <w:rPr>
          <w:sz w:val="20"/>
          <w:szCs w:val="20"/>
          <w:color w:val="auto"/>
        </w:rPr>
      </w:pPr>
      <w:r>
        <w:rPr>
          <w:rFonts w:ascii="Times New Roman" w:cs="Times New Roman" w:eastAsia="Times New Roman" w:hAnsi="Times New Roman"/>
          <w:sz w:val="18"/>
          <w:szCs w:val="18"/>
          <w:color w:val="auto"/>
        </w:rPr>
        <w:t>We define Free Cash Flow as net cash provided by operating activities minus cash payments for capital expenditures, net of dispositions. Management believes providing Free Cash Flow is useful for investors to understand our performance and results of cash generation after making capital investments required to support ongoing business operations.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2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For the thirteen weeks ended</w:t>
            </w:r>
          </w:p>
        </w:tc>
      </w:tr>
      <w:tr>
        <w:trPr>
          <w:trHeight w:val="27"/>
        </w:trPr>
        <w:tc>
          <w:tcPr>
            <w:tcW w:w="7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4"/>
        </w:trPr>
        <w:tc>
          <w:tcPr>
            <w:tcW w:w="7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240" w:type="dxa"/>
            <w:vAlign w:val="bottom"/>
          </w:tcPr>
          <w:p>
            <w:pPr>
              <w:spacing w:after="0"/>
              <w:rPr>
                <w:sz w:val="18"/>
                <w:szCs w:val="18"/>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30,</w:t>
            </w:r>
          </w:p>
        </w:tc>
      </w:tr>
      <w:tr>
        <w:trPr>
          <w:trHeight w:val="238"/>
        </w:trPr>
        <w:tc>
          <w:tcPr>
            <w:tcW w:w="7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(7,850)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 net of dispositions</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00" w:type="dxa"/>
            <w:vAlign w:val="bottom"/>
          </w:tcPr>
          <w:p>
            <w:pPr>
              <w:spacing w:after="0"/>
              <w:rPr>
                <w:sz w:val="21"/>
                <w:szCs w:val="2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8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(6,328)</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(10,830)</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2026-05-06T06:37:35Z</dcterms:created>
  <dcterms:modified xsi:type="dcterms:W3CDTF">2026-05-06T06:37:35Z</dcterms:modified>
</cp:coreProperties>
</file>